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748FE33" w14:textId="4EC02B1B" w:rsidR="001D4FDB" w:rsidRDefault="002321A0" w:rsidP="00746113">
      <w:pPr>
        <w:pStyle w:val="Title"/>
      </w:pPr>
      <w:r>
        <w:t>Here, There and Everywhere: The Case for Roving Wiretap Reforms</w:t>
      </w:r>
    </w:p>
    <w:p w14:paraId="164CABCB" w14:textId="77777777" w:rsidR="001D4FDB" w:rsidRDefault="001D4FDB" w:rsidP="001D4FDB">
      <w:pPr>
        <w:pStyle w:val="normal0"/>
        <w:jc w:val="center"/>
      </w:pPr>
      <w:r>
        <w:t>By Vance Trefethen</w:t>
      </w:r>
    </w:p>
    <w:p w14:paraId="3B7B0BDA" w14:textId="77777777" w:rsidR="00FA5EC0" w:rsidRDefault="00195D6F">
      <w:pPr>
        <w:pStyle w:val="TOC2"/>
        <w:rPr>
          <w:rFonts w:asciiTheme="minorHAnsi" w:eastAsiaTheme="minorEastAsia" w:hAnsiTheme="minorHAnsi" w:cstheme="minorBidi"/>
          <w:noProof/>
          <w:sz w:val="24"/>
          <w:szCs w:val="24"/>
          <w:lang w:eastAsia="ja-JP"/>
        </w:rPr>
      </w:pPr>
      <w:r>
        <w:rPr>
          <w:sz w:val="22"/>
        </w:rPr>
        <w:fldChar w:fldCharType="begin"/>
      </w:r>
      <w:r w:rsidR="00A371CF">
        <w:instrText xml:space="preserve"> TOC \t "Contention 1,2,Contention 2,3,Title 2,1" </w:instrText>
      </w:r>
      <w:r>
        <w:rPr>
          <w:sz w:val="22"/>
        </w:rPr>
        <w:fldChar w:fldCharType="separate"/>
      </w:r>
      <w:bookmarkStart w:id="0" w:name="_GoBack"/>
      <w:bookmarkEnd w:id="0"/>
      <w:r w:rsidR="00FA5EC0">
        <w:rPr>
          <w:noProof/>
        </w:rPr>
        <w:t>OBSERVATION 1.  Our DEFINITIONS</w:t>
      </w:r>
      <w:r w:rsidR="00FA5EC0">
        <w:rPr>
          <w:noProof/>
        </w:rPr>
        <w:tab/>
      </w:r>
      <w:r w:rsidR="00FA5EC0">
        <w:rPr>
          <w:noProof/>
        </w:rPr>
        <w:fldChar w:fldCharType="begin"/>
      </w:r>
      <w:r w:rsidR="00FA5EC0">
        <w:rPr>
          <w:noProof/>
        </w:rPr>
        <w:instrText xml:space="preserve"> PAGEREF _Toc266419006 \h </w:instrText>
      </w:r>
      <w:r w:rsidR="00FA5EC0">
        <w:rPr>
          <w:noProof/>
        </w:rPr>
      </w:r>
      <w:r w:rsidR="00FA5EC0">
        <w:rPr>
          <w:noProof/>
        </w:rPr>
        <w:fldChar w:fldCharType="separate"/>
      </w:r>
      <w:r w:rsidR="00CC1BF1">
        <w:rPr>
          <w:noProof/>
        </w:rPr>
        <w:t>2</w:t>
      </w:r>
      <w:r w:rsidR="00FA5EC0">
        <w:rPr>
          <w:noProof/>
        </w:rPr>
        <w:fldChar w:fldCharType="end"/>
      </w:r>
    </w:p>
    <w:p w14:paraId="7A827605" w14:textId="77777777" w:rsidR="00FA5EC0" w:rsidRDefault="00FA5EC0">
      <w:pPr>
        <w:pStyle w:val="TOC3"/>
        <w:rPr>
          <w:rFonts w:asciiTheme="minorHAnsi" w:eastAsiaTheme="minorEastAsia" w:hAnsiTheme="minorHAnsi" w:cstheme="minorBidi"/>
          <w:noProof/>
          <w:sz w:val="24"/>
          <w:szCs w:val="24"/>
          <w:lang w:eastAsia="ja-JP"/>
        </w:rPr>
      </w:pPr>
      <w:r>
        <w:rPr>
          <w:noProof/>
        </w:rPr>
        <w:t>Roving Wiretap:</w:t>
      </w:r>
      <w:r>
        <w:rPr>
          <w:noProof/>
        </w:rPr>
        <w:tab/>
      </w:r>
      <w:r>
        <w:rPr>
          <w:noProof/>
        </w:rPr>
        <w:fldChar w:fldCharType="begin"/>
      </w:r>
      <w:r>
        <w:rPr>
          <w:noProof/>
        </w:rPr>
        <w:instrText xml:space="preserve"> PAGEREF _Toc266419007 \h </w:instrText>
      </w:r>
      <w:r>
        <w:rPr>
          <w:noProof/>
        </w:rPr>
      </w:r>
      <w:r>
        <w:rPr>
          <w:noProof/>
        </w:rPr>
        <w:fldChar w:fldCharType="separate"/>
      </w:r>
      <w:r w:rsidR="00CC1BF1">
        <w:rPr>
          <w:noProof/>
        </w:rPr>
        <w:t>2</w:t>
      </w:r>
      <w:r>
        <w:rPr>
          <w:noProof/>
        </w:rPr>
        <w:fldChar w:fldCharType="end"/>
      </w:r>
    </w:p>
    <w:p w14:paraId="79F6971F" w14:textId="77777777" w:rsidR="00FA5EC0" w:rsidRDefault="00FA5EC0">
      <w:pPr>
        <w:pStyle w:val="TOC2"/>
        <w:rPr>
          <w:rFonts w:asciiTheme="minorHAnsi" w:eastAsiaTheme="minorEastAsia" w:hAnsiTheme="minorHAnsi" w:cstheme="minorBidi"/>
          <w:noProof/>
          <w:sz w:val="24"/>
          <w:szCs w:val="24"/>
          <w:lang w:eastAsia="ja-JP"/>
        </w:rPr>
      </w:pPr>
      <w:r>
        <w:rPr>
          <w:noProof/>
        </w:rPr>
        <w:t>OBSERVATION 2.  BACKGROUND information.</w:t>
      </w:r>
      <w:r>
        <w:rPr>
          <w:noProof/>
        </w:rPr>
        <w:tab/>
      </w:r>
      <w:r>
        <w:rPr>
          <w:noProof/>
        </w:rPr>
        <w:fldChar w:fldCharType="begin"/>
      </w:r>
      <w:r>
        <w:rPr>
          <w:noProof/>
        </w:rPr>
        <w:instrText xml:space="preserve"> PAGEREF _Toc266419008 \h </w:instrText>
      </w:r>
      <w:r>
        <w:rPr>
          <w:noProof/>
        </w:rPr>
      </w:r>
      <w:r>
        <w:rPr>
          <w:noProof/>
        </w:rPr>
        <w:fldChar w:fldCharType="separate"/>
      </w:r>
      <w:r w:rsidR="00CC1BF1">
        <w:rPr>
          <w:noProof/>
        </w:rPr>
        <w:t>2</w:t>
      </w:r>
      <w:r>
        <w:rPr>
          <w:noProof/>
        </w:rPr>
        <w:fldChar w:fldCharType="end"/>
      </w:r>
    </w:p>
    <w:p w14:paraId="04108377" w14:textId="77777777" w:rsidR="00FA5EC0" w:rsidRDefault="00FA5EC0">
      <w:pPr>
        <w:pStyle w:val="TOC3"/>
        <w:rPr>
          <w:rFonts w:asciiTheme="minorHAnsi" w:eastAsiaTheme="minorEastAsia" w:hAnsiTheme="minorHAnsi" w:cstheme="minorBidi"/>
          <w:noProof/>
          <w:sz w:val="24"/>
          <w:szCs w:val="24"/>
          <w:lang w:eastAsia="ja-JP"/>
        </w:rPr>
      </w:pPr>
      <w:r>
        <w:rPr>
          <w:noProof/>
        </w:rPr>
        <w:t>FACT 1.  FISA roving wiretaps.  The PATRIOT Act created FISA roving wiretaps.</w:t>
      </w:r>
      <w:r>
        <w:rPr>
          <w:noProof/>
        </w:rPr>
        <w:tab/>
      </w:r>
      <w:r>
        <w:rPr>
          <w:noProof/>
        </w:rPr>
        <w:fldChar w:fldCharType="begin"/>
      </w:r>
      <w:r>
        <w:rPr>
          <w:noProof/>
        </w:rPr>
        <w:instrText xml:space="preserve"> PAGEREF _Toc266419009 \h </w:instrText>
      </w:r>
      <w:r>
        <w:rPr>
          <w:noProof/>
        </w:rPr>
      </w:r>
      <w:r>
        <w:rPr>
          <w:noProof/>
        </w:rPr>
        <w:fldChar w:fldCharType="separate"/>
      </w:r>
      <w:r w:rsidR="00CC1BF1">
        <w:rPr>
          <w:noProof/>
        </w:rPr>
        <w:t>3</w:t>
      </w:r>
      <w:r>
        <w:rPr>
          <w:noProof/>
        </w:rPr>
        <w:fldChar w:fldCharType="end"/>
      </w:r>
    </w:p>
    <w:p w14:paraId="089021CF" w14:textId="77777777" w:rsidR="00FA5EC0" w:rsidRDefault="00FA5EC0">
      <w:pPr>
        <w:pStyle w:val="TOC3"/>
        <w:rPr>
          <w:rFonts w:asciiTheme="minorHAnsi" w:eastAsiaTheme="minorEastAsia" w:hAnsiTheme="minorHAnsi" w:cstheme="minorBidi"/>
          <w:noProof/>
          <w:sz w:val="24"/>
          <w:szCs w:val="24"/>
          <w:lang w:eastAsia="ja-JP"/>
        </w:rPr>
      </w:pPr>
      <w:r>
        <w:rPr>
          <w:noProof/>
        </w:rPr>
        <w:t>FACT 2.  Missing safeguards.   Regular criminal investigation roving wiretapping has safeguards that limit the scope of conversations that can be intercepted.  But the FISA wiretaps lack these safeguards.</w:t>
      </w:r>
      <w:r>
        <w:rPr>
          <w:noProof/>
        </w:rPr>
        <w:tab/>
      </w:r>
      <w:r>
        <w:rPr>
          <w:noProof/>
        </w:rPr>
        <w:fldChar w:fldCharType="begin"/>
      </w:r>
      <w:r>
        <w:rPr>
          <w:noProof/>
        </w:rPr>
        <w:instrText xml:space="preserve"> PAGEREF _Toc266419010 \h </w:instrText>
      </w:r>
      <w:r>
        <w:rPr>
          <w:noProof/>
        </w:rPr>
      </w:r>
      <w:r>
        <w:rPr>
          <w:noProof/>
        </w:rPr>
        <w:fldChar w:fldCharType="separate"/>
      </w:r>
      <w:r w:rsidR="00CC1BF1">
        <w:rPr>
          <w:noProof/>
        </w:rPr>
        <w:t>3</w:t>
      </w:r>
      <w:r>
        <w:rPr>
          <w:noProof/>
        </w:rPr>
        <w:fldChar w:fldCharType="end"/>
      </w:r>
    </w:p>
    <w:p w14:paraId="1C6DB0CF" w14:textId="77777777" w:rsidR="00FA5EC0" w:rsidRDefault="00FA5EC0">
      <w:pPr>
        <w:pStyle w:val="TOC2"/>
        <w:rPr>
          <w:rFonts w:asciiTheme="minorHAnsi" w:eastAsiaTheme="minorEastAsia" w:hAnsiTheme="minorHAnsi" w:cstheme="minorBidi"/>
          <w:noProof/>
          <w:sz w:val="24"/>
          <w:szCs w:val="24"/>
          <w:lang w:eastAsia="ja-JP"/>
        </w:rPr>
      </w:pPr>
      <w:r>
        <w:rPr>
          <w:noProof/>
        </w:rPr>
        <w:t>OBSERVATION 4. The HARM.</w:t>
      </w:r>
      <w:r>
        <w:rPr>
          <w:noProof/>
        </w:rPr>
        <w:tab/>
      </w:r>
      <w:r>
        <w:rPr>
          <w:noProof/>
        </w:rPr>
        <w:fldChar w:fldCharType="begin"/>
      </w:r>
      <w:r>
        <w:rPr>
          <w:noProof/>
        </w:rPr>
        <w:instrText xml:space="preserve"> PAGEREF _Toc266419011 \h </w:instrText>
      </w:r>
      <w:r>
        <w:rPr>
          <w:noProof/>
        </w:rPr>
      </w:r>
      <w:r>
        <w:rPr>
          <w:noProof/>
        </w:rPr>
        <w:fldChar w:fldCharType="separate"/>
      </w:r>
      <w:r w:rsidR="00CC1BF1">
        <w:rPr>
          <w:noProof/>
        </w:rPr>
        <w:t>4</w:t>
      </w:r>
      <w:r>
        <w:rPr>
          <w:noProof/>
        </w:rPr>
        <w:fldChar w:fldCharType="end"/>
      </w:r>
    </w:p>
    <w:p w14:paraId="3724A7ED" w14:textId="77777777" w:rsidR="00FA5EC0" w:rsidRDefault="00FA5EC0">
      <w:pPr>
        <w:pStyle w:val="TOC3"/>
        <w:rPr>
          <w:rFonts w:asciiTheme="minorHAnsi" w:eastAsiaTheme="minorEastAsia" w:hAnsiTheme="minorHAnsi" w:cstheme="minorBidi"/>
          <w:noProof/>
          <w:sz w:val="24"/>
          <w:szCs w:val="24"/>
          <w:lang w:eastAsia="ja-JP"/>
        </w:rPr>
      </w:pPr>
      <w:r>
        <w:rPr>
          <w:noProof/>
        </w:rPr>
        <w:t>The first LINK is: Higher risk.  Lack of safeguards puts FISA wiretapping at far higher risk of improper surveillance compared to Title III criminal investigations.</w:t>
      </w:r>
      <w:r>
        <w:rPr>
          <w:noProof/>
        </w:rPr>
        <w:tab/>
      </w:r>
      <w:r>
        <w:rPr>
          <w:noProof/>
        </w:rPr>
        <w:fldChar w:fldCharType="begin"/>
      </w:r>
      <w:r>
        <w:rPr>
          <w:noProof/>
        </w:rPr>
        <w:instrText xml:space="preserve"> PAGEREF _Toc266419012 \h </w:instrText>
      </w:r>
      <w:r>
        <w:rPr>
          <w:noProof/>
        </w:rPr>
      </w:r>
      <w:r>
        <w:rPr>
          <w:noProof/>
        </w:rPr>
        <w:fldChar w:fldCharType="separate"/>
      </w:r>
      <w:r w:rsidR="00CC1BF1">
        <w:rPr>
          <w:noProof/>
        </w:rPr>
        <w:t>4</w:t>
      </w:r>
      <w:r>
        <w:rPr>
          <w:noProof/>
        </w:rPr>
        <w:fldChar w:fldCharType="end"/>
      </w:r>
    </w:p>
    <w:p w14:paraId="144B07D1" w14:textId="77777777" w:rsidR="00FA5EC0" w:rsidRDefault="00FA5EC0">
      <w:pPr>
        <w:pStyle w:val="TOC3"/>
        <w:rPr>
          <w:rFonts w:asciiTheme="minorHAnsi" w:eastAsiaTheme="minorEastAsia" w:hAnsiTheme="minorHAnsi" w:cstheme="minorBidi"/>
          <w:noProof/>
          <w:sz w:val="24"/>
          <w:szCs w:val="24"/>
          <w:lang w:eastAsia="ja-JP"/>
        </w:rPr>
      </w:pPr>
      <w:r>
        <w:rPr>
          <w:noProof/>
        </w:rPr>
        <w:t>The second LINK is:  A real-life example.  Federal agents wiretapped a child for 5 days</w:t>
      </w:r>
      <w:r>
        <w:rPr>
          <w:noProof/>
        </w:rPr>
        <w:tab/>
      </w:r>
      <w:r>
        <w:rPr>
          <w:noProof/>
        </w:rPr>
        <w:fldChar w:fldCharType="begin"/>
      </w:r>
      <w:r>
        <w:rPr>
          <w:noProof/>
        </w:rPr>
        <w:instrText xml:space="preserve"> PAGEREF _Toc266419013 \h </w:instrText>
      </w:r>
      <w:r>
        <w:rPr>
          <w:noProof/>
        </w:rPr>
      </w:r>
      <w:r>
        <w:rPr>
          <w:noProof/>
        </w:rPr>
        <w:fldChar w:fldCharType="separate"/>
      </w:r>
      <w:r w:rsidR="00CC1BF1">
        <w:rPr>
          <w:noProof/>
        </w:rPr>
        <w:t>4</w:t>
      </w:r>
      <w:r>
        <w:rPr>
          <w:noProof/>
        </w:rPr>
        <w:fldChar w:fldCharType="end"/>
      </w:r>
    </w:p>
    <w:p w14:paraId="1D7792CD" w14:textId="77777777" w:rsidR="00FA5EC0" w:rsidRDefault="00FA5EC0">
      <w:pPr>
        <w:pStyle w:val="TOC3"/>
        <w:rPr>
          <w:rFonts w:asciiTheme="minorHAnsi" w:eastAsiaTheme="minorEastAsia" w:hAnsiTheme="minorHAnsi" w:cstheme="minorBidi"/>
          <w:noProof/>
          <w:sz w:val="24"/>
          <w:szCs w:val="24"/>
          <w:lang w:eastAsia="ja-JP"/>
        </w:rPr>
      </w:pPr>
      <w:r>
        <w:rPr>
          <w:noProof/>
        </w:rPr>
        <w:t>The third LINK is:  4</w:t>
      </w:r>
      <w:r w:rsidRPr="00E774E4">
        <w:rPr>
          <w:noProof/>
          <w:vertAlign w:val="superscript"/>
        </w:rPr>
        <w:t>th</w:t>
      </w:r>
      <w:r>
        <w:rPr>
          <w:noProof/>
        </w:rPr>
        <w:t xml:space="preserve"> Amendment weakened.  FISA wiretapping undercuts 4</w:t>
      </w:r>
      <w:r w:rsidRPr="00E774E4">
        <w:rPr>
          <w:noProof/>
          <w:vertAlign w:val="superscript"/>
        </w:rPr>
        <w:t>th</w:t>
      </w:r>
      <w:r>
        <w:rPr>
          <w:noProof/>
        </w:rPr>
        <w:t xml:space="preserve"> Amendment privacy</w:t>
      </w:r>
      <w:r>
        <w:rPr>
          <w:noProof/>
        </w:rPr>
        <w:tab/>
      </w:r>
      <w:r>
        <w:rPr>
          <w:noProof/>
        </w:rPr>
        <w:fldChar w:fldCharType="begin"/>
      </w:r>
      <w:r>
        <w:rPr>
          <w:noProof/>
        </w:rPr>
        <w:instrText xml:space="preserve"> PAGEREF _Toc266419014 \h </w:instrText>
      </w:r>
      <w:r>
        <w:rPr>
          <w:noProof/>
        </w:rPr>
      </w:r>
      <w:r>
        <w:rPr>
          <w:noProof/>
        </w:rPr>
        <w:fldChar w:fldCharType="separate"/>
      </w:r>
      <w:r w:rsidR="00CC1BF1">
        <w:rPr>
          <w:noProof/>
        </w:rPr>
        <w:t>4</w:t>
      </w:r>
      <w:r>
        <w:rPr>
          <w:noProof/>
        </w:rPr>
        <w:fldChar w:fldCharType="end"/>
      </w:r>
    </w:p>
    <w:p w14:paraId="0F478CF4" w14:textId="77777777" w:rsidR="00FA5EC0" w:rsidRDefault="00FA5EC0">
      <w:pPr>
        <w:pStyle w:val="TOC3"/>
        <w:rPr>
          <w:rFonts w:asciiTheme="minorHAnsi" w:eastAsiaTheme="minorEastAsia" w:hAnsiTheme="minorHAnsi" w:cstheme="minorBidi"/>
          <w:noProof/>
          <w:sz w:val="24"/>
          <w:szCs w:val="24"/>
          <w:lang w:eastAsia="ja-JP"/>
        </w:rPr>
      </w:pPr>
      <w:r>
        <w:rPr>
          <w:noProof/>
        </w:rPr>
        <w:t>And finally the IMPACT: Tyranny and oppression.  Wiretapping is an instrument of tyranny and oppression.</w:t>
      </w:r>
      <w:r>
        <w:rPr>
          <w:noProof/>
        </w:rPr>
        <w:tab/>
      </w:r>
      <w:r>
        <w:rPr>
          <w:noProof/>
        </w:rPr>
        <w:fldChar w:fldCharType="begin"/>
      </w:r>
      <w:r>
        <w:rPr>
          <w:noProof/>
        </w:rPr>
        <w:instrText xml:space="preserve"> PAGEREF _Toc266419015 \h </w:instrText>
      </w:r>
      <w:r>
        <w:rPr>
          <w:noProof/>
        </w:rPr>
      </w:r>
      <w:r>
        <w:rPr>
          <w:noProof/>
        </w:rPr>
        <w:fldChar w:fldCharType="separate"/>
      </w:r>
      <w:r w:rsidR="00CC1BF1">
        <w:rPr>
          <w:noProof/>
        </w:rPr>
        <w:t>4</w:t>
      </w:r>
      <w:r>
        <w:rPr>
          <w:noProof/>
        </w:rPr>
        <w:fldChar w:fldCharType="end"/>
      </w:r>
    </w:p>
    <w:p w14:paraId="46F7353F" w14:textId="77777777" w:rsidR="00FA5EC0" w:rsidRDefault="00FA5EC0">
      <w:pPr>
        <w:pStyle w:val="TOC2"/>
        <w:rPr>
          <w:rFonts w:asciiTheme="minorHAnsi" w:eastAsiaTheme="minorEastAsia" w:hAnsiTheme="minorHAnsi" w:cstheme="minorBidi"/>
          <w:noProof/>
          <w:sz w:val="24"/>
          <w:szCs w:val="24"/>
          <w:lang w:eastAsia="ja-JP"/>
        </w:rPr>
      </w:pPr>
      <w:r>
        <w:rPr>
          <w:noProof/>
        </w:rPr>
        <w:t>OBSERVATION 5.  Our PLAN, to be implemented by Congress and the President.</w:t>
      </w:r>
      <w:r>
        <w:rPr>
          <w:noProof/>
        </w:rPr>
        <w:tab/>
      </w:r>
      <w:r>
        <w:rPr>
          <w:noProof/>
        </w:rPr>
        <w:fldChar w:fldCharType="begin"/>
      </w:r>
      <w:r>
        <w:rPr>
          <w:noProof/>
        </w:rPr>
        <w:instrText xml:space="preserve"> PAGEREF _Toc266419016 \h </w:instrText>
      </w:r>
      <w:r>
        <w:rPr>
          <w:noProof/>
        </w:rPr>
      </w:r>
      <w:r>
        <w:rPr>
          <w:noProof/>
        </w:rPr>
        <w:fldChar w:fldCharType="separate"/>
      </w:r>
      <w:r w:rsidR="00CC1BF1">
        <w:rPr>
          <w:noProof/>
        </w:rPr>
        <w:t>5</w:t>
      </w:r>
      <w:r>
        <w:rPr>
          <w:noProof/>
        </w:rPr>
        <w:fldChar w:fldCharType="end"/>
      </w:r>
    </w:p>
    <w:p w14:paraId="14C28C1A" w14:textId="77777777" w:rsidR="00FA5EC0" w:rsidRDefault="00FA5EC0">
      <w:pPr>
        <w:pStyle w:val="TOC2"/>
        <w:rPr>
          <w:rFonts w:asciiTheme="minorHAnsi" w:eastAsiaTheme="minorEastAsia" w:hAnsiTheme="minorHAnsi" w:cstheme="minorBidi"/>
          <w:noProof/>
          <w:sz w:val="24"/>
          <w:szCs w:val="24"/>
          <w:lang w:eastAsia="ja-JP"/>
        </w:rPr>
      </w:pPr>
      <w:r>
        <w:rPr>
          <w:noProof/>
        </w:rPr>
        <w:t>OBSERVATION 6.  SOLVENCY.</w:t>
      </w:r>
      <w:r>
        <w:rPr>
          <w:noProof/>
        </w:rPr>
        <w:tab/>
      </w:r>
      <w:r>
        <w:rPr>
          <w:noProof/>
        </w:rPr>
        <w:fldChar w:fldCharType="begin"/>
      </w:r>
      <w:r>
        <w:rPr>
          <w:noProof/>
        </w:rPr>
        <w:instrText xml:space="preserve"> PAGEREF _Toc266419017 \h </w:instrText>
      </w:r>
      <w:r>
        <w:rPr>
          <w:noProof/>
        </w:rPr>
      </w:r>
      <w:r>
        <w:rPr>
          <w:noProof/>
        </w:rPr>
        <w:fldChar w:fldCharType="separate"/>
      </w:r>
      <w:r w:rsidR="00CC1BF1">
        <w:rPr>
          <w:noProof/>
        </w:rPr>
        <w:t>5</w:t>
      </w:r>
      <w:r>
        <w:rPr>
          <w:noProof/>
        </w:rPr>
        <w:fldChar w:fldCharType="end"/>
      </w:r>
    </w:p>
    <w:p w14:paraId="06858F99" w14:textId="77777777" w:rsidR="00FA5EC0" w:rsidRDefault="00FA5EC0">
      <w:pPr>
        <w:pStyle w:val="TOC3"/>
        <w:rPr>
          <w:rFonts w:asciiTheme="minorHAnsi" w:eastAsiaTheme="minorEastAsia" w:hAnsiTheme="minorHAnsi" w:cstheme="minorBidi"/>
          <w:noProof/>
          <w:sz w:val="24"/>
          <w:szCs w:val="24"/>
          <w:lang w:eastAsia="ja-JP"/>
        </w:rPr>
      </w:pPr>
      <w:r>
        <w:rPr>
          <w:noProof/>
        </w:rPr>
        <w:t>Title III safeguards are key to stopping 4</w:t>
      </w:r>
      <w:r w:rsidRPr="00E774E4">
        <w:rPr>
          <w:noProof/>
          <w:vertAlign w:val="superscript"/>
        </w:rPr>
        <w:t>th</w:t>
      </w:r>
      <w:r>
        <w:rPr>
          <w:noProof/>
        </w:rPr>
        <w:t xml:space="preserve"> Amendment violations.</w:t>
      </w:r>
      <w:r>
        <w:rPr>
          <w:noProof/>
        </w:rPr>
        <w:tab/>
      </w:r>
      <w:r>
        <w:rPr>
          <w:noProof/>
        </w:rPr>
        <w:fldChar w:fldCharType="begin"/>
      </w:r>
      <w:r>
        <w:rPr>
          <w:noProof/>
        </w:rPr>
        <w:instrText xml:space="preserve"> PAGEREF _Toc266419018 \h </w:instrText>
      </w:r>
      <w:r>
        <w:rPr>
          <w:noProof/>
        </w:rPr>
      </w:r>
      <w:r>
        <w:rPr>
          <w:noProof/>
        </w:rPr>
        <w:fldChar w:fldCharType="separate"/>
      </w:r>
      <w:r w:rsidR="00CC1BF1">
        <w:rPr>
          <w:noProof/>
        </w:rPr>
        <w:t>5</w:t>
      </w:r>
      <w:r>
        <w:rPr>
          <w:noProof/>
        </w:rPr>
        <w:fldChar w:fldCharType="end"/>
      </w:r>
    </w:p>
    <w:p w14:paraId="4CE2A55E" w14:textId="77777777" w:rsidR="00FA5EC0" w:rsidRDefault="00FA5EC0">
      <w:pPr>
        <w:pStyle w:val="TOC1"/>
        <w:tabs>
          <w:tab w:val="right" w:leader="dot" w:pos="9350"/>
        </w:tabs>
        <w:rPr>
          <w:rFonts w:asciiTheme="minorHAnsi" w:eastAsiaTheme="minorEastAsia" w:hAnsiTheme="minorHAnsi" w:cstheme="minorBidi"/>
          <w:b w:val="0"/>
          <w:noProof/>
          <w:sz w:val="24"/>
          <w:szCs w:val="24"/>
          <w:lang w:eastAsia="ja-JP"/>
        </w:rPr>
      </w:pPr>
      <w:r>
        <w:rPr>
          <w:noProof/>
        </w:rPr>
        <w:t>2A Evidence: Roving Wiretap Reforms</w:t>
      </w:r>
      <w:r>
        <w:rPr>
          <w:noProof/>
        </w:rPr>
        <w:tab/>
      </w:r>
      <w:r>
        <w:rPr>
          <w:noProof/>
        </w:rPr>
        <w:fldChar w:fldCharType="begin"/>
      </w:r>
      <w:r>
        <w:rPr>
          <w:noProof/>
        </w:rPr>
        <w:instrText xml:space="preserve"> PAGEREF _Toc266419019 \h </w:instrText>
      </w:r>
      <w:r>
        <w:rPr>
          <w:noProof/>
        </w:rPr>
      </w:r>
      <w:r>
        <w:rPr>
          <w:noProof/>
        </w:rPr>
        <w:fldChar w:fldCharType="separate"/>
      </w:r>
      <w:r w:rsidR="00CC1BF1">
        <w:rPr>
          <w:noProof/>
        </w:rPr>
        <w:t>6</w:t>
      </w:r>
      <w:r>
        <w:rPr>
          <w:noProof/>
        </w:rPr>
        <w:fldChar w:fldCharType="end"/>
      </w:r>
    </w:p>
    <w:p w14:paraId="2DEED740" w14:textId="77777777" w:rsidR="00FA5EC0" w:rsidRDefault="00FA5EC0">
      <w:pPr>
        <w:pStyle w:val="TOC2"/>
        <w:rPr>
          <w:rFonts w:asciiTheme="minorHAnsi" w:eastAsiaTheme="minorEastAsia" w:hAnsiTheme="minorHAnsi" w:cstheme="minorBidi"/>
          <w:noProof/>
          <w:sz w:val="24"/>
          <w:szCs w:val="24"/>
          <w:lang w:eastAsia="ja-JP"/>
        </w:rPr>
      </w:pPr>
      <w:r>
        <w:rPr>
          <w:noProof/>
        </w:rPr>
        <w:t>TOPICALITY / DEFINITIONS</w:t>
      </w:r>
      <w:r>
        <w:rPr>
          <w:noProof/>
        </w:rPr>
        <w:tab/>
      </w:r>
      <w:r>
        <w:rPr>
          <w:noProof/>
        </w:rPr>
        <w:fldChar w:fldCharType="begin"/>
      </w:r>
      <w:r>
        <w:rPr>
          <w:noProof/>
        </w:rPr>
        <w:instrText xml:space="preserve"> PAGEREF _Toc266419020 \h </w:instrText>
      </w:r>
      <w:r>
        <w:rPr>
          <w:noProof/>
        </w:rPr>
      </w:r>
      <w:r>
        <w:rPr>
          <w:noProof/>
        </w:rPr>
        <w:fldChar w:fldCharType="separate"/>
      </w:r>
      <w:r w:rsidR="00CC1BF1">
        <w:rPr>
          <w:noProof/>
        </w:rPr>
        <w:t>6</w:t>
      </w:r>
      <w:r>
        <w:rPr>
          <w:noProof/>
        </w:rPr>
        <w:fldChar w:fldCharType="end"/>
      </w:r>
    </w:p>
    <w:p w14:paraId="3EC46C65" w14:textId="77777777" w:rsidR="00FA5EC0" w:rsidRDefault="00FA5EC0">
      <w:pPr>
        <w:pStyle w:val="TOC3"/>
        <w:rPr>
          <w:rFonts w:asciiTheme="minorHAnsi" w:eastAsiaTheme="minorEastAsia" w:hAnsiTheme="minorHAnsi" w:cstheme="minorBidi"/>
          <w:noProof/>
          <w:sz w:val="24"/>
          <w:szCs w:val="24"/>
          <w:lang w:eastAsia="ja-JP"/>
        </w:rPr>
      </w:pPr>
      <w:r>
        <w:rPr>
          <w:noProof/>
        </w:rPr>
        <w:t>How roving wiretaps work</w:t>
      </w:r>
      <w:r>
        <w:rPr>
          <w:noProof/>
        </w:rPr>
        <w:tab/>
      </w:r>
      <w:r>
        <w:rPr>
          <w:noProof/>
        </w:rPr>
        <w:fldChar w:fldCharType="begin"/>
      </w:r>
      <w:r>
        <w:rPr>
          <w:noProof/>
        </w:rPr>
        <w:instrText xml:space="preserve"> PAGEREF _Toc266419021 \h </w:instrText>
      </w:r>
      <w:r>
        <w:rPr>
          <w:noProof/>
        </w:rPr>
      </w:r>
      <w:r>
        <w:rPr>
          <w:noProof/>
        </w:rPr>
        <w:fldChar w:fldCharType="separate"/>
      </w:r>
      <w:r w:rsidR="00CC1BF1">
        <w:rPr>
          <w:noProof/>
        </w:rPr>
        <w:t>6</w:t>
      </w:r>
      <w:r>
        <w:rPr>
          <w:noProof/>
        </w:rPr>
        <w:fldChar w:fldCharType="end"/>
      </w:r>
    </w:p>
    <w:p w14:paraId="107F36BC" w14:textId="77777777" w:rsidR="00FA5EC0" w:rsidRDefault="00FA5EC0">
      <w:pPr>
        <w:pStyle w:val="TOC2"/>
        <w:rPr>
          <w:rFonts w:asciiTheme="minorHAnsi" w:eastAsiaTheme="minorEastAsia" w:hAnsiTheme="minorHAnsi" w:cstheme="minorBidi"/>
          <w:noProof/>
          <w:sz w:val="24"/>
          <w:szCs w:val="24"/>
          <w:lang w:eastAsia="ja-JP"/>
        </w:rPr>
      </w:pPr>
      <w:r>
        <w:rPr>
          <w:noProof/>
        </w:rPr>
        <w:t>INHERENCY</w:t>
      </w:r>
      <w:r>
        <w:rPr>
          <w:noProof/>
        </w:rPr>
        <w:tab/>
      </w:r>
      <w:r>
        <w:rPr>
          <w:noProof/>
        </w:rPr>
        <w:fldChar w:fldCharType="begin"/>
      </w:r>
      <w:r>
        <w:rPr>
          <w:noProof/>
        </w:rPr>
        <w:instrText xml:space="preserve"> PAGEREF _Toc266419022 \h </w:instrText>
      </w:r>
      <w:r>
        <w:rPr>
          <w:noProof/>
        </w:rPr>
      </w:r>
      <w:r>
        <w:rPr>
          <w:noProof/>
        </w:rPr>
        <w:fldChar w:fldCharType="separate"/>
      </w:r>
      <w:r w:rsidR="00CC1BF1">
        <w:rPr>
          <w:noProof/>
        </w:rPr>
        <w:t>6</w:t>
      </w:r>
      <w:r>
        <w:rPr>
          <w:noProof/>
        </w:rPr>
        <w:fldChar w:fldCharType="end"/>
      </w:r>
    </w:p>
    <w:p w14:paraId="7B638E2E" w14:textId="77777777" w:rsidR="00FA5EC0" w:rsidRDefault="00FA5EC0">
      <w:pPr>
        <w:pStyle w:val="TOC3"/>
        <w:rPr>
          <w:rFonts w:asciiTheme="minorHAnsi" w:eastAsiaTheme="minorEastAsia" w:hAnsiTheme="minorHAnsi" w:cstheme="minorBidi"/>
          <w:noProof/>
          <w:sz w:val="24"/>
          <w:szCs w:val="24"/>
          <w:lang w:eastAsia="ja-JP"/>
        </w:rPr>
      </w:pPr>
      <w:r>
        <w:rPr>
          <w:noProof/>
        </w:rPr>
        <w:t>History and origins of “Title III” and why it doesn’t apply to foreign intelligence surveillance</w:t>
      </w:r>
      <w:r>
        <w:rPr>
          <w:noProof/>
        </w:rPr>
        <w:tab/>
      </w:r>
      <w:r>
        <w:rPr>
          <w:noProof/>
        </w:rPr>
        <w:fldChar w:fldCharType="begin"/>
      </w:r>
      <w:r>
        <w:rPr>
          <w:noProof/>
        </w:rPr>
        <w:instrText xml:space="preserve"> PAGEREF _Toc266419023 \h </w:instrText>
      </w:r>
      <w:r>
        <w:rPr>
          <w:noProof/>
        </w:rPr>
      </w:r>
      <w:r>
        <w:rPr>
          <w:noProof/>
        </w:rPr>
        <w:fldChar w:fldCharType="separate"/>
      </w:r>
      <w:r w:rsidR="00CC1BF1">
        <w:rPr>
          <w:noProof/>
        </w:rPr>
        <w:t>6</w:t>
      </w:r>
      <w:r>
        <w:rPr>
          <w:noProof/>
        </w:rPr>
        <w:fldChar w:fldCharType="end"/>
      </w:r>
    </w:p>
    <w:p w14:paraId="35526A48" w14:textId="77777777" w:rsidR="00FA5EC0" w:rsidRDefault="00FA5EC0">
      <w:pPr>
        <w:pStyle w:val="TOC3"/>
        <w:rPr>
          <w:rFonts w:asciiTheme="minorHAnsi" w:eastAsiaTheme="minorEastAsia" w:hAnsiTheme="minorHAnsi" w:cstheme="minorBidi"/>
          <w:noProof/>
          <w:sz w:val="24"/>
          <w:szCs w:val="24"/>
          <w:lang w:eastAsia="ja-JP"/>
        </w:rPr>
      </w:pPr>
      <w:r>
        <w:rPr>
          <w:noProof/>
        </w:rPr>
        <w:t>It referred originally to Title III of the Omnibus Crime Control and Safe Streets Act of 1968 (though later updated by the Electronic Communications Privacy Act of 1986)</w:t>
      </w:r>
      <w:r>
        <w:rPr>
          <w:noProof/>
        </w:rPr>
        <w:tab/>
      </w:r>
      <w:r>
        <w:rPr>
          <w:noProof/>
        </w:rPr>
        <w:fldChar w:fldCharType="begin"/>
      </w:r>
      <w:r>
        <w:rPr>
          <w:noProof/>
        </w:rPr>
        <w:instrText xml:space="preserve"> PAGEREF _Toc266419024 \h </w:instrText>
      </w:r>
      <w:r>
        <w:rPr>
          <w:noProof/>
        </w:rPr>
      </w:r>
      <w:r>
        <w:rPr>
          <w:noProof/>
        </w:rPr>
        <w:fldChar w:fldCharType="separate"/>
      </w:r>
      <w:r w:rsidR="00CC1BF1">
        <w:rPr>
          <w:noProof/>
        </w:rPr>
        <w:t>6</w:t>
      </w:r>
      <w:r>
        <w:rPr>
          <w:noProof/>
        </w:rPr>
        <w:fldChar w:fldCharType="end"/>
      </w:r>
    </w:p>
    <w:p w14:paraId="35C41177" w14:textId="77777777" w:rsidR="00FA5EC0" w:rsidRDefault="00FA5EC0">
      <w:pPr>
        <w:pStyle w:val="TOC3"/>
        <w:rPr>
          <w:rFonts w:asciiTheme="minorHAnsi" w:eastAsiaTheme="minorEastAsia" w:hAnsiTheme="minorHAnsi" w:cstheme="minorBidi"/>
          <w:noProof/>
          <w:sz w:val="24"/>
          <w:szCs w:val="24"/>
          <w:lang w:eastAsia="ja-JP"/>
        </w:rPr>
      </w:pPr>
      <w:r>
        <w:rPr>
          <w:noProof/>
        </w:rPr>
        <w:t>FISA/Patriot Act roving wiretaps lack the safeguards of regular criminal investigation wiretaps</w:t>
      </w:r>
      <w:r>
        <w:rPr>
          <w:noProof/>
        </w:rPr>
        <w:tab/>
      </w:r>
      <w:r>
        <w:rPr>
          <w:noProof/>
        </w:rPr>
        <w:fldChar w:fldCharType="begin"/>
      </w:r>
      <w:r>
        <w:rPr>
          <w:noProof/>
        </w:rPr>
        <w:instrText xml:space="preserve"> PAGEREF _Toc266419025 \h </w:instrText>
      </w:r>
      <w:r>
        <w:rPr>
          <w:noProof/>
        </w:rPr>
      </w:r>
      <w:r>
        <w:rPr>
          <w:noProof/>
        </w:rPr>
        <w:fldChar w:fldCharType="separate"/>
      </w:r>
      <w:r w:rsidR="00CC1BF1">
        <w:rPr>
          <w:noProof/>
        </w:rPr>
        <w:t>7</w:t>
      </w:r>
      <w:r>
        <w:rPr>
          <w:noProof/>
        </w:rPr>
        <w:fldChar w:fldCharType="end"/>
      </w:r>
    </w:p>
    <w:p w14:paraId="3DDEDCBF" w14:textId="77777777" w:rsidR="00FA5EC0" w:rsidRDefault="00FA5EC0">
      <w:pPr>
        <w:pStyle w:val="TOC3"/>
        <w:rPr>
          <w:rFonts w:asciiTheme="minorHAnsi" w:eastAsiaTheme="minorEastAsia" w:hAnsiTheme="minorHAnsi" w:cstheme="minorBidi"/>
          <w:noProof/>
          <w:sz w:val="24"/>
          <w:szCs w:val="24"/>
          <w:lang w:eastAsia="ja-JP"/>
        </w:rPr>
      </w:pPr>
      <w:r>
        <w:rPr>
          <w:noProof/>
        </w:rPr>
        <w:t>Substantial differences between FISA wiretaps and ordinary criminal wiretaps</w:t>
      </w:r>
      <w:r>
        <w:rPr>
          <w:noProof/>
        </w:rPr>
        <w:tab/>
      </w:r>
      <w:r>
        <w:rPr>
          <w:noProof/>
        </w:rPr>
        <w:fldChar w:fldCharType="begin"/>
      </w:r>
      <w:r>
        <w:rPr>
          <w:noProof/>
        </w:rPr>
        <w:instrText xml:space="preserve"> PAGEREF _Toc266419026 \h </w:instrText>
      </w:r>
      <w:r>
        <w:rPr>
          <w:noProof/>
        </w:rPr>
      </w:r>
      <w:r>
        <w:rPr>
          <w:noProof/>
        </w:rPr>
        <w:fldChar w:fldCharType="separate"/>
      </w:r>
      <w:r w:rsidR="00CC1BF1">
        <w:rPr>
          <w:noProof/>
        </w:rPr>
        <w:t>7</w:t>
      </w:r>
      <w:r>
        <w:rPr>
          <w:noProof/>
        </w:rPr>
        <w:fldChar w:fldCharType="end"/>
      </w:r>
    </w:p>
    <w:p w14:paraId="29C74F0C" w14:textId="77777777" w:rsidR="00FA5EC0" w:rsidRDefault="00FA5EC0">
      <w:pPr>
        <w:pStyle w:val="TOC3"/>
        <w:rPr>
          <w:rFonts w:asciiTheme="minorHAnsi" w:eastAsiaTheme="minorEastAsia" w:hAnsiTheme="minorHAnsi" w:cstheme="minorBidi"/>
          <w:noProof/>
          <w:sz w:val="24"/>
          <w:szCs w:val="24"/>
          <w:lang w:eastAsia="ja-JP"/>
        </w:rPr>
      </w:pPr>
      <w:r>
        <w:rPr>
          <w:noProof/>
        </w:rPr>
        <w:t>Title III roving wiretap has safeguards</w:t>
      </w:r>
      <w:r>
        <w:rPr>
          <w:noProof/>
        </w:rPr>
        <w:tab/>
      </w:r>
      <w:r>
        <w:rPr>
          <w:noProof/>
        </w:rPr>
        <w:fldChar w:fldCharType="begin"/>
      </w:r>
      <w:r>
        <w:rPr>
          <w:noProof/>
        </w:rPr>
        <w:instrText xml:space="preserve"> PAGEREF _Toc266419027 \h </w:instrText>
      </w:r>
      <w:r>
        <w:rPr>
          <w:noProof/>
        </w:rPr>
      </w:r>
      <w:r>
        <w:rPr>
          <w:noProof/>
        </w:rPr>
        <w:fldChar w:fldCharType="separate"/>
      </w:r>
      <w:r w:rsidR="00CC1BF1">
        <w:rPr>
          <w:noProof/>
        </w:rPr>
        <w:t>7</w:t>
      </w:r>
      <w:r>
        <w:rPr>
          <w:noProof/>
        </w:rPr>
        <w:fldChar w:fldCharType="end"/>
      </w:r>
    </w:p>
    <w:p w14:paraId="5E305A05" w14:textId="77777777" w:rsidR="00FA5EC0" w:rsidRDefault="00FA5EC0">
      <w:pPr>
        <w:pStyle w:val="TOC3"/>
        <w:rPr>
          <w:rFonts w:asciiTheme="minorHAnsi" w:eastAsiaTheme="minorEastAsia" w:hAnsiTheme="minorHAnsi" w:cstheme="minorBidi"/>
          <w:noProof/>
          <w:sz w:val="24"/>
          <w:szCs w:val="24"/>
          <w:lang w:eastAsia="ja-JP"/>
        </w:rPr>
      </w:pPr>
      <w:r>
        <w:rPr>
          <w:noProof/>
        </w:rPr>
        <w:t>“Dept of Justice policy is that they name the suspect” – Response:  Policies change and they’re not binding legal standards</w:t>
      </w:r>
      <w:r>
        <w:rPr>
          <w:noProof/>
        </w:rPr>
        <w:tab/>
      </w:r>
      <w:r>
        <w:rPr>
          <w:noProof/>
        </w:rPr>
        <w:fldChar w:fldCharType="begin"/>
      </w:r>
      <w:r>
        <w:rPr>
          <w:noProof/>
        </w:rPr>
        <w:instrText xml:space="preserve"> PAGEREF _Toc266419028 \h </w:instrText>
      </w:r>
      <w:r>
        <w:rPr>
          <w:noProof/>
        </w:rPr>
      </w:r>
      <w:r>
        <w:rPr>
          <w:noProof/>
        </w:rPr>
        <w:fldChar w:fldCharType="separate"/>
      </w:r>
      <w:r w:rsidR="00CC1BF1">
        <w:rPr>
          <w:noProof/>
        </w:rPr>
        <w:t>7</w:t>
      </w:r>
      <w:r>
        <w:rPr>
          <w:noProof/>
        </w:rPr>
        <w:fldChar w:fldCharType="end"/>
      </w:r>
    </w:p>
    <w:p w14:paraId="7FFA69C6" w14:textId="77777777" w:rsidR="00FA5EC0" w:rsidRDefault="00FA5EC0">
      <w:pPr>
        <w:pStyle w:val="TOC3"/>
        <w:rPr>
          <w:rFonts w:asciiTheme="minorHAnsi" w:eastAsiaTheme="minorEastAsia" w:hAnsiTheme="minorHAnsi" w:cstheme="minorBidi"/>
          <w:noProof/>
          <w:sz w:val="24"/>
          <w:szCs w:val="24"/>
          <w:lang w:eastAsia="ja-JP"/>
        </w:rPr>
      </w:pPr>
      <w:r>
        <w:rPr>
          <w:noProof/>
        </w:rPr>
        <w:t>Innocent bystanders get wiretapped due to lack of FISA safeguards</w:t>
      </w:r>
      <w:r>
        <w:rPr>
          <w:noProof/>
        </w:rPr>
        <w:tab/>
      </w:r>
      <w:r>
        <w:rPr>
          <w:noProof/>
        </w:rPr>
        <w:fldChar w:fldCharType="begin"/>
      </w:r>
      <w:r>
        <w:rPr>
          <w:noProof/>
        </w:rPr>
        <w:instrText xml:space="preserve"> PAGEREF _Toc266419029 \h </w:instrText>
      </w:r>
      <w:r>
        <w:rPr>
          <w:noProof/>
        </w:rPr>
      </w:r>
      <w:r>
        <w:rPr>
          <w:noProof/>
        </w:rPr>
        <w:fldChar w:fldCharType="separate"/>
      </w:r>
      <w:r w:rsidR="00CC1BF1">
        <w:rPr>
          <w:noProof/>
        </w:rPr>
        <w:t>8</w:t>
      </w:r>
      <w:r>
        <w:rPr>
          <w:noProof/>
        </w:rPr>
        <w:fldChar w:fldCharType="end"/>
      </w:r>
    </w:p>
    <w:p w14:paraId="44B8C9B7" w14:textId="77777777" w:rsidR="00FA5EC0" w:rsidRDefault="00FA5EC0">
      <w:pPr>
        <w:pStyle w:val="TOC2"/>
        <w:rPr>
          <w:rFonts w:asciiTheme="minorHAnsi" w:eastAsiaTheme="minorEastAsia" w:hAnsiTheme="minorHAnsi" w:cstheme="minorBidi"/>
          <w:noProof/>
          <w:sz w:val="24"/>
          <w:szCs w:val="24"/>
          <w:lang w:eastAsia="ja-JP"/>
        </w:rPr>
      </w:pPr>
      <w:r w:rsidRPr="00E774E4">
        <w:rPr>
          <w:noProof/>
          <w:shd w:val="clear" w:color="auto" w:fill="FFFFFF"/>
        </w:rPr>
        <w:t>HARMS / SIGNIFICANCE</w:t>
      </w:r>
      <w:r>
        <w:rPr>
          <w:noProof/>
        </w:rPr>
        <w:tab/>
      </w:r>
      <w:r>
        <w:rPr>
          <w:noProof/>
        </w:rPr>
        <w:fldChar w:fldCharType="begin"/>
      </w:r>
      <w:r>
        <w:rPr>
          <w:noProof/>
        </w:rPr>
        <w:instrText xml:space="preserve"> PAGEREF _Toc266419030 \h </w:instrText>
      </w:r>
      <w:r>
        <w:rPr>
          <w:noProof/>
        </w:rPr>
      </w:r>
      <w:r>
        <w:rPr>
          <w:noProof/>
        </w:rPr>
        <w:fldChar w:fldCharType="separate"/>
      </w:r>
      <w:r w:rsidR="00CC1BF1">
        <w:rPr>
          <w:noProof/>
        </w:rPr>
        <w:t>8</w:t>
      </w:r>
      <w:r>
        <w:rPr>
          <w:noProof/>
        </w:rPr>
        <w:fldChar w:fldCharType="end"/>
      </w:r>
    </w:p>
    <w:p w14:paraId="001F43D5" w14:textId="77777777" w:rsidR="00FA5EC0" w:rsidRDefault="00FA5EC0">
      <w:pPr>
        <w:pStyle w:val="TOC3"/>
        <w:rPr>
          <w:rFonts w:asciiTheme="minorHAnsi" w:eastAsiaTheme="minorEastAsia" w:hAnsiTheme="minorHAnsi" w:cstheme="minorBidi"/>
          <w:noProof/>
          <w:sz w:val="24"/>
          <w:szCs w:val="24"/>
          <w:lang w:eastAsia="ja-JP"/>
        </w:rPr>
      </w:pPr>
      <w:r>
        <w:rPr>
          <w:noProof/>
        </w:rPr>
        <w:t>Innocent bystanders get wiretapped</w:t>
      </w:r>
      <w:r>
        <w:rPr>
          <w:noProof/>
        </w:rPr>
        <w:tab/>
      </w:r>
      <w:r>
        <w:rPr>
          <w:noProof/>
        </w:rPr>
        <w:fldChar w:fldCharType="begin"/>
      </w:r>
      <w:r>
        <w:rPr>
          <w:noProof/>
        </w:rPr>
        <w:instrText xml:space="preserve"> PAGEREF _Toc266419031 \h </w:instrText>
      </w:r>
      <w:r>
        <w:rPr>
          <w:noProof/>
        </w:rPr>
      </w:r>
      <w:r>
        <w:rPr>
          <w:noProof/>
        </w:rPr>
        <w:fldChar w:fldCharType="separate"/>
      </w:r>
      <w:r w:rsidR="00CC1BF1">
        <w:rPr>
          <w:noProof/>
        </w:rPr>
        <w:t>8</w:t>
      </w:r>
      <w:r>
        <w:rPr>
          <w:noProof/>
        </w:rPr>
        <w:fldChar w:fldCharType="end"/>
      </w:r>
    </w:p>
    <w:p w14:paraId="4A79E765" w14:textId="77777777" w:rsidR="00FA5EC0" w:rsidRDefault="00FA5EC0">
      <w:pPr>
        <w:pStyle w:val="TOC3"/>
        <w:rPr>
          <w:rFonts w:asciiTheme="minorHAnsi" w:eastAsiaTheme="minorEastAsia" w:hAnsiTheme="minorHAnsi" w:cstheme="minorBidi"/>
          <w:noProof/>
          <w:sz w:val="24"/>
          <w:szCs w:val="24"/>
          <w:lang w:eastAsia="ja-JP"/>
        </w:rPr>
      </w:pPr>
      <w:r>
        <w:rPr>
          <w:noProof/>
        </w:rPr>
        <w:t>FISA wiretaps can collect widespread data from lots of people beyond those who are actually suspected of a crime</w:t>
      </w:r>
      <w:r>
        <w:rPr>
          <w:noProof/>
        </w:rPr>
        <w:tab/>
      </w:r>
      <w:r>
        <w:rPr>
          <w:noProof/>
        </w:rPr>
        <w:fldChar w:fldCharType="begin"/>
      </w:r>
      <w:r>
        <w:rPr>
          <w:noProof/>
        </w:rPr>
        <w:instrText xml:space="preserve"> PAGEREF _Toc266419032 \h </w:instrText>
      </w:r>
      <w:r>
        <w:rPr>
          <w:noProof/>
        </w:rPr>
      </w:r>
      <w:r>
        <w:rPr>
          <w:noProof/>
        </w:rPr>
        <w:fldChar w:fldCharType="separate"/>
      </w:r>
      <w:r w:rsidR="00CC1BF1">
        <w:rPr>
          <w:noProof/>
        </w:rPr>
        <w:t>8</w:t>
      </w:r>
      <w:r>
        <w:rPr>
          <w:noProof/>
        </w:rPr>
        <w:fldChar w:fldCharType="end"/>
      </w:r>
    </w:p>
    <w:p w14:paraId="41AEDD31" w14:textId="77777777" w:rsidR="00FA5EC0" w:rsidRDefault="00FA5EC0">
      <w:pPr>
        <w:pStyle w:val="TOC3"/>
        <w:rPr>
          <w:rFonts w:asciiTheme="minorHAnsi" w:eastAsiaTheme="minorEastAsia" w:hAnsiTheme="minorHAnsi" w:cstheme="minorBidi"/>
          <w:noProof/>
          <w:sz w:val="24"/>
          <w:szCs w:val="24"/>
          <w:lang w:eastAsia="ja-JP"/>
        </w:rPr>
      </w:pPr>
      <w:r>
        <w:rPr>
          <w:noProof/>
        </w:rPr>
        <w:t>Constitutional rights and vital human rights are lost when privacy is violated</w:t>
      </w:r>
      <w:r>
        <w:rPr>
          <w:noProof/>
        </w:rPr>
        <w:tab/>
      </w:r>
      <w:r>
        <w:rPr>
          <w:noProof/>
        </w:rPr>
        <w:fldChar w:fldCharType="begin"/>
      </w:r>
      <w:r>
        <w:rPr>
          <w:noProof/>
        </w:rPr>
        <w:instrText xml:space="preserve"> PAGEREF _Toc266419033 \h </w:instrText>
      </w:r>
      <w:r>
        <w:rPr>
          <w:noProof/>
        </w:rPr>
      </w:r>
      <w:r>
        <w:rPr>
          <w:noProof/>
        </w:rPr>
        <w:fldChar w:fldCharType="separate"/>
      </w:r>
      <w:r w:rsidR="00CC1BF1">
        <w:rPr>
          <w:noProof/>
        </w:rPr>
        <w:t>9</w:t>
      </w:r>
      <w:r>
        <w:rPr>
          <w:noProof/>
        </w:rPr>
        <w:fldChar w:fldCharType="end"/>
      </w:r>
    </w:p>
    <w:p w14:paraId="6C687E4F" w14:textId="77777777" w:rsidR="00FA5EC0" w:rsidRDefault="00FA5EC0">
      <w:pPr>
        <w:pStyle w:val="TOC2"/>
        <w:rPr>
          <w:rFonts w:asciiTheme="minorHAnsi" w:eastAsiaTheme="minorEastAsia" w:hAnsiTheme="minorHAnsi" w:cstheme="minorBidi"/>
          <w:noProof/>
          <w:sz w:val="24"/>
          <w:szCs w:val="24"/>
          <w:lang w:eastAsia="ja-JP"/>
        </w:rPr>
      </w:pPr>
      <w:r>
        <w:rPr>
          <w:noProof/>
        </w:rPr>
        <w:t>SOLVENCY / ADVOCACY</w:t>
      </w:r>
      <w:r>
        <w:rPr>
          <w:noProof/>
        </w:rPr>
        <w:tab/>
      </w:r>
      <w:r>
        <w:rPr>
          <w:noProof/>
        </w:rPr>
        <w:fldChar w:fldCharType="begin"/>
      </w:r>
      <w:r>
        <w:rPr>
          <w:noProof/>
        </w:rPr>
        <w:instrText xml:space="preserve"> PAGEREF _Toc266419034 \h </w:instrText>
      </w:r>
      <w:r>
        <w:rPr>
          <w:noProof/>
        </w:rPr>
      </w:r>
      <w:r>
        <w:rPr>
          <w:noProof/>
        </w:rPr>
        <w:fldChar w:fldCharType="separate"/>
      </w:r>
      <w:r w:rsidR="00CC1BF1">
        <w:rPr>
          <w:noProof/>
        </w:rPr>
        <w:t>9</w:t>
      </w:r>
      <w:r>
        <w:rPr>
          <w:noProof/>
        </w:rPr>
        <w:fldChar w:fldCharType="end"/>
      </w:r>
    </w:p>
    <w:p w14:paraId="7FC290E9" w14:textId="77777777" w:rsidR="00FA5EC0" w:rsidRDefault="00FA5EC0">
      <w:pPr>
        <w:pStyle w:val="TOC3"/>
        <w:rPr>
          <w:rFonts w:asciiTheme="minorHAnsi" w:eastAsiaTheme="minorEastAsia" w:hAnsiTheme="minorHAnsi" w:cstheme="minorBidi"/>
          <w:noProof/>
          <w:sz w:val="24"/>
          <w:szCs w:val="24"/>
          <w:lang w:eastAsia="ja-JP"/>
        </w:rPr>
      </w:pPr>
      <w:r>
        <w:rPr>
          <w:noProof/>
        </w:rPr>
        <w:t>Having a known identity for the target is key to preventing erroneous surveillance</w:t>
      </w:r>
      <w:r>
        <w:rPr>
          <w:noProof/>
        </w:rPr>
        <w:tab/>
      </w:r>
      <w:r>
        <w:rPr>
          <w:noProof/>
        </w:rPr>
        <w:fldChar w:fldCharType="begin"/>
      </w:r>
      <w:r>
        <w:rPr>
          <w:noProof/>
        </w:rPr>
        <w:instrText xml:space="preserve"> PAGEREF _Toc266419035 \h </w:instrText>
      </w:r>
      <w:r>
        <w:rPr>
          <w:noProof/>
        </w:rPr>
      </w:r>
      <w:r>
        <w:rPr>
          <w:noProof/>
        </w:rPr>
        <w:fldChar w:fldCharType="separate"/>
      </w:r>
      <w:r w:rsidR="00CC1BF1">
        <w:rPr>
          <w:noProof/>
        </w:rPr>
        <w:t>9</w:t>
      </w:r>
      <w:r>
        <w:rPr>
          <w:noProof/>
        </w:rPr>
        <w:fldChar w:fldCharType="end"/>
      </w:r>
    </w:p>
    <w:p w14:paraId="663E305B" w14:textId="77777777" w:rsidR="00FA5EC0" w:rsidRDefault="00FA5EC0">
      <w:pPr>
        <w:pStyle w:val="TOC3"/>
        <w:rPr>
          <w:rFonts w:asciiTheme="minorHAnsi" w:eastAsiaTheme="minorEastAsia" w:hAnsiTheme="minorHAnsi" w:cstheme="minorBidi"/>
          <w:noProof/>
          <w:sz w:val="24"/>
          <w:szCs w:val="24"/>
          <w:lang w:eastAsia="ja-JP"/>
        </w:rPr>
      </w:pPr>
      <w:r>
        <w:rPr>
          <w:noProof/>
        </w:rPr>
        <w:t>FISA roving warrants should have the same individual identification requirements as Title III</w:t>
      </w:r>
      <w:r>
        <w:rPr>
          <w:noProof/>
        </w:rPr>
        <w:tab/>
      </w:r>
      <w:r>
        <w:rPr>
          <w:noProof/>
        </w:rPr>
        <w:fldChar w:fldCharType="begin"/>
      </w:r>
      <w:r>
        <w:rPr>
          <w:noProof/>
        </w:rPr>
        <w:instrText xml:space="preserve"> PAGEREF _Toc266419036 \h </w:instrText>
      </w:r>
      <w:r>
        <w:rPr>
          <w:noProof/>
        </w:rPr>
      </w:r>
      <w:r>
        <w:rPr>
          <w:noProof/>
        </w:rPr>
        <w:fldChar w:fldCharType="separate"/>
      </w:r>
      <w:r w:rsidR="00CC1BF1">
        <w:rPr>
          <w:noProof/>
        </w:rPr>
        <w:t>9</w:t>
      </w:r>
      <w:r>
        <w:rPr>
          <w:noProof/>
        </w:rPr>
        <w:fldChar w:fldCharType="end"/>
      </w:r>
    </w:p>
    <w:p w14:paraId="7AD1FAAE" w14:textId="77777777" w:rsidR="00FA5EC0" w:rsidRDefault="00FA5EC0">
      <w:pPr>
        <w:pStyle w:val="TOC3"/>
        <w:rPr>
          <w:rFonts w:asciiTheme="minorHAnsi" w:eastAsiaTheme="minorEastAsia" w:hAnsiTheme="minorHAnsi" w:cstheme="minorBidi"/>
          <w:noProof/>
          <w:sz w:val="24"/>
          <w:szCs w:val="24"/>
          <w:lang w:eastAsia="ja-JP"/>
        </w:rPr>
      </w:pPr>
      <w:r>
        <w:rPr>
          <w:noProof/>
        </w:rPr>
        <w:t>FISA roving wiretaps should have “ascertainment” requirement:  Only conduct surveillance when the target is known to be present</w:t>
      </w:r>
      <w:r>
        <w:rPr>
          <w:noProof/>
        </w:rPr>
        <w:tab/>
      </w:r>
      <w:r>
        <w:rPr>
          <w:noProof/>
        </w:rPr>
        <w:fldChar w:fldCharType="begin"/>
      </w:r>
      <w:r>
        <w:rPr>
          <w:noProof/>
        </w:rPr>
        <w:instrText xml:space="preserve"> PAGEREF _Toc266419037 \h </w:instrText>
      </w:r>
      <w:r>
        <w:rPr>
          <w:noProof/>
        </w:rPr>
      </w:r>
      <w:r>
        <w:rPr>
          <w:noProof/>
        </w:rPr>
        <w:fldChar w:fldCharType="separate"/>
      </w:r>
      <w:r w:rsidR="00CC1BF1">
        <w:rPr>
          <w:noProof/>
        </w:rPr>
        <w:t>10</w:t>
      </w:r>
      <w:r>
        <w:rPr>
          <w:noProof/>
        </w:rPr>
        <w:fldChar w:fldCharType="end"/>
      </w:r>
    </w:p>
    <w:p w14:paraId="648AED6E" w14:textId="77777777" w:rsidR="00FA5EC0" w:rsidRDefault="00FA5EC0">
      <w:pPr>
        <w:pStyle w:val="TOC3"/>
        <w:rPr>
          <w:rFonts w:asciiTheme="minorHAnsi" w:eastAsiaTheme="minorEastAsia" w:hAnsiTheme="minorHAnsi" w:cstheme="minorBidi"/>
          <w:noProof/>
          <w:sz w:val="24"/>
          <w:szCs w:val="24"/>
          <w:lang w:eastAsia="ja-JP"/>
        </w:rPr>
      </w:pPr>
      <w:r>
        <w:rPr>
          <w:noProof/>
        </w:rPr>
        <w:t>“John Doe” FISA wiretaps should be reformed:  Need to specify the person or location of the surveillance</w:t>
      </w:r>
      <w:r>
        <w:rPr>
          <w:noProof/>
        </w:rPr>
        <w:tab/>
      </w:r>
      <w:r>
        <w:rPr>
          <w:noProof/>
        </w:rPr>
        <w:fldChar w:fldCharType="begin"/>
      </w:r>
      <w:r>
        <w:rPr>
          <w:noProof/>
        </w:rPr>
        <w:instrText xml:space="preserve"> PAGEREF _Toc266419038 \h </w:instrText>
      </w:r>
      <w:r>
        <w:rPr>
          <w:noProof/>
        </w:rPr>
      </w:r>
      <w:r>
        <w:rPr>
          <w:noProof/>
        </w:rPr>
        <w:fldChar w:fldCharType="separate"/>
      </w:r>
      <w:r w:rsidR="00CC1BF1">
        <w:rPr>
          <w:noProof/>
        </w:rPr>
        <w:t>10</w:t>
      </w:r>
      <w:r>
        <w:rPr>
          <w:noProof/>
        </w:rPr>
        <w:fldChar w:fldCharType="end"/>
      </w:r>
    </w:p>
    <w:p w14:paraId="40C3777E" w14:textId="77777777" w:rsidR="00FA5EC0" w:rsidRDefault="00FA5EC0">
      <w:pPr>
        <w:pStyle w:val="TOC2"/>
        <w:rPr>
          <w:rFonts w:asciiTheme="minorHAnsi" w:eastAsiaTheme="minorEastAsia" w:hAnsiTheme="minorHAnsi" w:cstheme="minorBidi"/>
          <w:noProof/>
          <w:sz w:val="24"/>
          <w:szCs w:val="24"/>
          <w:lang w:eastAsia="ja-JP"/>
        </w:rPr>
      </w:pPr>
      <w:r w:rsidRPr="00E774E4">
        <w:rPr>
          <w:noProof/>
          <w:shd w:val="clear" w:color="auto" w:fill="FFFFFF"/>
        </w:rPr>
        <w:t>DISADVANTAGE RESPONSES</w:t>
      </w:r>
      <w:r>
        <w:rPr>
          <w:noProof/>
        </w:rPr>
        <w:tab/>
      </w:r>
      <w:r>
        <w:rPr>
          <w:noProof/>
        </w:rPr>
        <w:fldChar w:fldCharType="begin"/>
      </w:r>
      <w:r>
        <w:rPr>
          <w:noProof/>
        </w:rPr>
        <w:instrText xml:space="preserve"> PAGEREF _Toc266419039 \h </w:instrText>
      </w:r>
      <w:r>
        <w:rPr>
          <w:noProof/>
        </w:rPr>
      </w:r>
      <w:r>
        <w:rPr>
          <w:noProof/>
        </w:rPr>
        <w:fldChar w:fldCharType="separate"/>
      </w:r>
      <w:r w:rsidR="00CC1BF1">
        <w:rPr>
          <w:noProof/>
        </w:rPr>
        <w:t>11</w:t>
      </w:r>
      <w:r>
        <w:rPr>
          <w:noProof/>
        </w:rPr>
        <w:fldChar w:fldCharType="end"/>
      </w:r>
    </w:p>
    <w:p w14:paraId="25CBF125" w14:textId="77777777" w:rsidR="00FA5EC0" w:rsidRDefault="00FA5EC0">
      <w:pPr>
        <w:pStyle w:val="TOC3"/>
        <w:rPr>
          <w:rFonts w:asciiTheme="minorHAnsi" w:eastAsiaTheme="minorEastAsia" w:hAnsiTheme="minorHAnsi" w:cstheme="minorBidi"/>
          <w:noProof/>
          <w:sz w:val="24"/>
          <w:szCs w:val="24"/>
          <w:lang w:eastAsia="ja-JP"/>
        </w:rPr>
      </w:pPr>
      <w:r w:rsidRPr="00E774E4">
        <w:rPr>
          <w:noProof/>
          <w:shd w:val="clear" w:color="auto" w:fill="FFFFFF"/>
        </w:rPr>
        <w:t>Advocacy: Sen. Russ Feingold proposed the safeguards when the Patriot Act was first debated DA Response:  Won’t hurt intelligence or law enforcement because Title III operates just fine with these safeguards, so it won’t hurt FISA to have the same rules</w:t>
      </w:r>
      <w:r>
        <w:rPr>
          <w:noProof/>
        </w:rPr>
        <w:tab/>
      </w:r>
      <w:r>
        <w:rPr>
          <w:noProof/>
        </w:rPr>
        <w:fldChar w:fldCharType="begin"/>
      </w:r>
      <w:r>
        <w:rPr>
          <w:noProof/>
        </w:rPr>
        <w:instrText xml:space="preserve"> PAGEREF _Toc266419040 \h </w:instrText>
      </w:r>
      <w:r>
        <w:rPr>
          <w:noProof/>
        </w:rPr>
      </w:r>
      <w:r>
        <w:rPr>
          <w:noProof/>
        </w:rPr>
        <w:fldChar w:fldCharType="separate"/>
      </w:r>
      <w:r w:rsidR="00CC1BF1">
        <w:rPr>
          <w:noProof/>
        </w:rPr>
        <w:t>11</w:t>
      </w:r>
      <w:r>
        <w:rPr>
          <w:noProof/>
        </w:rPr>
        <w:fldChar w:fldCharType="end"/>
      </w:r>
    </w:p>
    <w:p w14:paraId="1BEEE026" w14:textId="77777777" w:rsidR="00FA5EC0" w:rsidRDefault="00FA5EC0">
      <w:pPr>
        <w:pStyle w:val="TOC3"/>
        <w:rPr>
          <w:rFonts w:asciiTheme="minorHAnsi" w:eastAsiaTheme="minorEastAsia" w:hAnsiTheme="minorHAnsi" w:cstheme="minorBidi"/>
          <w:noProof/>
          <w:sz w:val="24"/>
          <w:szCs w:val="24"/>
          <w:lang w:eastAsia="ja-JP"/>
        </w:rPr>
      </w:pPr>
      <w:r>
        <w:rPr>
          <w:noProof/>
        </w:rPr>
        <w:t>Limiting roving wiretaps would aid the fight against terrorism:  focuses government resources only on the bad guys</w:t>
      </w:r>
      <w:r>
        <w:rPr>
          <w:noProof/>
        </w:rPr>
        <w:tab/>
      </w:r>
      <w:r>
        <w:rPr>
          <w:noProof/>
        </w:rPr>
        <w:fldChar w:fldCharType="begin"/>
      </w:r>
      <w:r>
        <w:rPr>
          <w:noProof/>
        </w:rPr>
        <w:instrText xml:space="preserve"> PAGEREF _Toc266419041 \h </w:instrText>
      </w:r>
      <w:r>
        <w:rPr>
          <w:noProof/>
        </w:rPr>
      </w:r>
      <w:r>
        <w:rPr>
          <w:noProof/>
        </w:rPr>
        <w:fldChar w:fldCharType="separate"/>
      </w:r>
      <w:r w:rsidR="00CC1BF1">
        <w:rPr>
          <w:noProof/>
        </w:rPr>
        <w:t>11</w:t>
      </w:r>
      <w:r>
        <w:rPr>
          <w:noProof/>
        </w:rPr>
        <w:fldChar w:fldCharType="end"/>
      </w:r>
    </w:p>
    <w:p w14:paraId="3619E520" w14:textId="77777777" w:rsidR="00FA5EC0" w:rsidRDefault="00FA5EC0">
      <w:pPr>
        <w:pStyle w:val="TOC3"/>
        <w:rPr>
          <w:rFonts w:asciiTheme="minorHAnsi" w:eastAsiaTheme="minorEastAsia" w:hAnsiTheme="minorHAnsi" w:cstheme="minorBidi"/>
          <w:noProof/>
          <w:sz w:val="24"/>
          <w:szCs w:val="24"/>
          <w:lang w:eastAsia="ja-JP"/>
        </w:rPr>
      </w:pPr>
      <w:r>
        <w:rPr>
          <w:noProof/>
        </w:rPr>
        <w:t>Not a big burden to use safeguards on roving wiretap</w:t>
      </w:r>
      <w:r>
        <w:rPr>
          <w:noProof/>
        </w:rPr>
        <w:tab/>
      </w:r>
      <w:r>
        <w:rPr>
          <w:noProof/>
        </w:rPr>
        <w:fldChar w:fldCharType="begin"/>
      </w:r>
      <w:r>
        <w:rPr>
          <w:noProof/>
        </w:rPr>
        <w:instrText xml:space="preserve"> PAGEREF _Toc266419042 \h </w:instrText>
      </w:r>
      <w:r>
        <w:rPr>
          <w:noProof/>
        </w:rPr>
      </w:r>
      <w:r>
        <w:rPr>
          <w:noProof/>
        </w:rPr>
        <w:fldChar w:fldCharType="separate"/>
      </w:r>
      <w:r w:rsidR="00CC1BF1">
        <w:rPr>
          <w:noProof/>
        </w:rPr>
        <w:t>11</w:t>
      </w:r>
      <w:r>
        <w:rPr>
          <w:noProof/>
        </w:rPr>
        <w:fldChar w:fldCharType="end"/>
      </w:r>
    </w:p>
    <w:p w14:paraId="61B920CD" w14:textId="77777777" w:rsidR="002321A0" w:rsidRDefault="00195D6F" w:rsidP="002321A0">
      <w:pPr>
        <w:pStyle w:val="Constructive"/>
        <w:sectPr w:rsidR="002321A0" w:rsidSect="002321A0">
          <w:headerReference w:type="default" r:id="rId8"/>
          <w:footerReference w:type="default" r:id="rId9"/>
          <w:pgSz w:w="12240" w:h="15840"/>
          <w:pgMar w:top="1440" w:right="1440" w:bottom="1440" w:left="1440" w:header="720" w:footer="720" w:gutter="0"/>
          <w:cols w:space="720"/>
        </w:sectPr>
      </w:pPr>
      <w:r>
        <w:fldChar w:fldCharType="end"/>
      </w:r>
    </w:p>
    <w:p w14:paraId="31B13B57" w14:textId="74D670FA" w:rsidR="00DC1C78" w:rsidRPr="00A371CF" w:rsidRDefault="00A855E2" w:rsidP="002321A0">
      <w:pPr>
        <w:pStyle w:val="Constructive"/>
      </w:pPr>
      <w:r w:rsidRPr="00A371CF">
        <w:lastRenderedPageBreak/>
        <w:t>Wiretapping can</w:t>
      </w:r>
      <w:r w:rsidR="00DC1C78" w:rsidRPr="00A371CF">
        <w:t xml:space="preserve"> be a necessary and effective part of law enforcement’s investigation of both ordinary crime and foreign intelligence or terrorism activity.  Federal laws for wiretap investigation of ordinary crime come with careful safeguards to protect uninvolved members of the public from privacy violations.  But wiretapping surveillance of foreign activity in the United States is sadly lacking these necessary safeguards.  That’s why my partner and I ask you to join us in affirming that The United States federal government should substantially reform its electronic surveillance law.</w:t>
      </w:r>
    </w:p>
    <w:p w14:paraId="773E446E" w14:textId="77777777" w:rsidR="00DC1C78" w:rsidRDefault="00DC1C78" w:rsidP="00DC1C78">
      <w:pPr>
        <w:pStyle w:val="Constructive"/>
      </w:pPr>
      <w:r>
        <w:t xml:space="preserve">Let’s start with </w:t>
      </w:r>
    </w:p>
    <w:p w14:paraId="2AD42945" w14:textId="77777777" w:rsidR="00DC1C78" w:rsidRDefault="00DC1C78" w:rsidP="00DC1C78">
      <w:pPr>
        <w:pStyle w:val="Contention1"/>
      </w:pPr>
      <w:bookmarkStart w:id="1" w:name="_Toc266419006"/>
      <w:r>
        <w:t>OBSERVATION 1.  Our DEFINITIONS</w:t>
      </w:r>
      <w:bookmarkEnd w:id="1"/>
    </w:p>
    <w:p w14:paraId="284018E8" w14:textId="77777777" w:rsidR="00DC1C78" w:rsidRPr="00A855E2" w:rsidRDefault="00DC1C78" w:rsidP="00A855E2">
      <w:pPr>
        <w:pStyle w:val="Evidence"/>
        <w:rPr>
          <w:i/>
        </w:rPr>
      </w:pPr>
      <w:r w:rsidRPr="00A855E2">
        <w:rPr>
          <w:b/>
        </w:rPr>
        <w:t>Electronic Surveillance</w:t>
      </w:r>
      <w:r w:rsidRPr="00A855E2">
        <w:t>: “</w:t>
      </w:r>
      <w:r w:rsidRPr="00A855E2">
        <w:rPr>
          <w:u w:val="single"/>
        </w:rPr>
        <w:t>Observing or listening to persons, places, or activities—usually in a secretive or unobtrusive manner—with the aid of electronic devices such as cameras, microphones, tape recorders, or wire taps</w:t>
      </w:r>
      <w:r w:rsidR="00A855E2" w:rsidRPr="00A855E2">
        <w:rPr>
          <w:u w:val="single"/>
        </w:rPr>
        <w:t>.</w:t>
      </w:r>
      <w:r w:rsidR="00A855E2" w:rsidRPr="00A855E2">
        <w:t xml:space="preserve"> </w:t>
      </w:r>
      <w:r w:rsidR="00A855E2" w:rsidRPr="00A855E2">
        <w:rPr>
          <w:i/>
        </w:rPr>
        <w:t>(</w:t>
      </w:r>
      <w:r w:rsidRPr="00A855E2">
        <w:rPr>
          <w:i/>
          <w:u w:val="single"/>
        </w:rPr>
        <w:t>The Free Dictionary 2003</w:t>
      </w:r>
      <w:r w:rsidR="00A855E2" w:rsidRPr="00A855E2">
        <w:rPr>
          <w:i/>
        </w:rPr>
        <w:t xml:space="preserve">. </w:t>
      </w:r>
      <w:r w:rsidRPr="00A855E2">
        <w:rPr>
          <w:i/>
        </w:rPr>
        <w:t xml:space="preserve">“Electronic Surveillance” article is undated but refers to events in 2003 and none later. </w:t>
      </w:r>
      <w:hyperlink r:id="rId10" w:history="1">
        <w:r w:rsidR="00A855E2" w:rsidRPr="005C55B4">
          <w:rPr>
            <w:rStyle w:val="Hyperlink"/>
            <w:i/>
          </w:rPr>
          <w:t>http://legal-dictionary.thefreedictionary.com/Electronic+Surveillance</w:t>
        </w:r>
      </w:hyperlink>
      <w:r w:rsidRPr="00A855E2">
        <w:rPr>
          <w:i/>
        </w:rPr>
        <w:t>)</w:t>
      </w:r>
      <w:r w:rsidR="00A855E2">
        <w:rPr>
          <w:i/>
        </w:rPr>
        <w:t xml:space="preserve"> </w:t>
      </w:r>
    </w:p>
    <w:p w14:paraId="3E0831C8" w14:textId="77777777" w:rsidR="00DC1C78" w:rsidRPr="00A855E2" w:rsidRDefault="00DC1C78" w:rsidP="00A855E2">
      <w:pPr>
        <w:pStyle w:val="Evidence"/>
        <w:rPr>
          <w:i/>
        </w:rPr>
      </w:pPr>
      <w:r w:rsidRPr="00A855E2">
        <w:rPr>
          <w:b/>
        </w:rPr>
        <w:t>Law</w:t>
      </w:r>
      <w:r w:rsidRPr="00A855E2">
        <w:t>:  “1 a (1</w:t>
      </w:r>
      <w:proofErr w:type="gramStart"/>
      <w:r w:rsidRPr="00A855E2">
        <w:t>) :</w:t>
      </w:r>
      <w:proofErr w:type="gramEnd"/>
      <w:r w:rsidRPr="00A855E2">
        <w:t xml:space="preserve">  </w:t>
      </w:r>
      <w:r w:rsidRPr="00A855E2">
        <w:rPr>
          <w:u w:val="single"/>
        </w:rPr>
        <w:t>a binding custom or practice of a community :  a rule of conduct or action prescribed or formally recognized as binding or enforced by a controlling authority</w:t>
      </w:r>
      <w:r w:rsidRPr="00A855E2">
        <w:t xml:space="preserve">” </w:t>
      </w:r>
      <w:r w:rsidRPr="00A855E2">
        <w:rPr>
          <w:i/>
        </w:rPr>
        <w:t>(</w:t>
      </w:r>
      <w:r w:rsidRPr="00A855E2">
        <w:rPr>
          <w:i/>
          <w:u w:val="single"/>
        </w:rPr>
        <w:t>Merriam-Webster</w:t>
      </w:r>
      <w:r w:rsidRPr="00A855E2">
        <w:rPr>
          <w:i/>
        </w:rPr>
        <w:t xml:space="preserve"> Online Dict. 2014</w:t>
      </w:r>
      <w:r w:rsidR="00A855E2" w:rsidRPr="00A855E2">
        <w:rPr>
          <w:i/>
        </w:rPr>
        <w:t xml:space="preserve"> </w:t>
      </w:r>
      <w:hyperlink r:id="rId11" w:history="1">
        <w:r w:rsidR="00A855E2" w:rsidRPr="005C55B4">
          <w:rPr>
            <w:rStyle w:val="Hyperlink"/>
            <w:i/>
          </w:rPr>
          <w:t>http://www.merriam-webster.com/dictionary/law</w:t>
        </w:r>
      </w:hyperlink>
      <w:r w:rsidR="00A855E2">
        <w:rPr>
          <w:i/>
        </w:rPr>
        <w:t xml:space="preserve">) </w:t>
      </w:r>
    </w:p>
    <w:p w14:paraId="5B6A93A8" w14:textId="77777777" w:rsidR="00DC1C78" w:rsidRPr="00DC1C78" w:rsidRDefault="00DC1C78" w:rsidP="00DC1C78">
      <w:pPr>
        <w:pStyle w:val="Contention2"/>
      </w:pPr>
      <w:bookmarkStart w:id="2" w:name="_Toc266419007"/>
      <w:r w:rsidRPr="00DC1C78">
        <w:t>Roving Wiretap:</w:t>
      </w:r>
      <w:bookmarkEnd w:id="2"/>
    </w:p>
    <w:p w14:paraId="22AF713F" w14:textId="77777777" w:rsidR="00DC1C78" w:rsidRPr="00486F31" w:rsidRDefault="00DC1C78" w:rsidP="00DC1C78">
      <w:pPr>
        <w:pStyle w:val="Citation3"/>
      </w:pPr>
      <w:proofErr w:type="gramStart"/>
      <w:r w:rsidRPr="00486F31">
        <w:rPr>
          <w:u w:val="single"/>
        </w:rPr>
        <w:t xml:space="preserve">Jerome P. </w:t>
      </w:r>
      <w:proofErr w:type="spellStart"/>
      <w:r w:rsidRPr="00486F31">
        <w:rPr>
          <w:u w:val="single"/>
        </w:rPr>
        <w:t>Bjelopera</w:t>
      </w:r>
      <w:proofErr w:type="spellEnd"/>
      <w:r w:rsidRPr="00486F31">
        <w:rPr>
          <w:u w:val="single"/>
        </w:rPr>
        <w:t xml:space="preserve"> 2013.</w:t>
      </w:r>
      <w:proofErr w:type="gramEnd"/>
      <w:r w:rsidRPr="00486F31">
        <w:t xml:space="preserve"> (Specialist in Organized Crime and Terrorism with Congressional Research Service) 24 Apr 2013 </w:t>
      </w:r>
      <w:r w:rsidRPr="00486F31">
        <w:rPr>
          <w:szCs w:val="54"/>
        </w:rPr>
        <w:t xml:space="preserve">The Federal Bureau of Investigation and Terrorism Investigations </w:t>
      </w:r>
      <w:hyperlink r:id="rId12" w:history="1">
        <w:r w:rsidR="00A371CF" w:rsidRPr="00A066F3">
          <w:rPr>
            <w:rStyle w:val="Hyperlink"/>
          </w:rPr>
          <w:t>http://www.fas.org/sgp/crs/terror/R41780.pdf</w:t>
        </w:r>
      </w:hyperlink>
    </w:p>
    <w:p w14:paraId="3F982FDD" w14:textId="77777777" w:rsidR="00DC1C78" w:rsidRDefault="00DC1C78" w:rsidP="00DC1C78">
      <w:pPr>
        <w:pStyle w:val="Evidence"/>
      </w:pPr>
      <w:r w:rsidRPr="00C034F8">
        <w:t>Federal law enforcement officers have the authority, subject to court approval, to conduct wiretaps and electronic surveillance on persons suspected of committing federal crimes</w:t>
      </w:r>
      <w:r w:rsidRPr="009716D5">
        <w:rPr>
          <w:u w:val="single"/>
        </w:rPr>
        <w:t xml:space="preserve">. A “roving” wiretap allows law enforcement officers to “follow” a subject and lawfully intercept </w:t>
      </w:r>
      <w:r w:rsidR="00A855E2" w:rsidRPr="009716D5">
        <w:rPr>
          <w:u w:val="single"/>
        </w:rPr>
        <w:t>that person’s</w:t>
      </w:r>
      <w:r w:rsidRPr="009716D5">
        <w:rPr>
          <w:u w:val="single"/>
        </w:rPr>
        <w:t xml:space="preserve"> communications with a single court order even if the target attempts to evade surveillance by changing telephones or other communications devices</w:t>
      </w:r>
      <w:r w:rsidRPr="00C034F8">
        <w:t>.</w:t>
      </w:r>
    </w:p>
    <w:p w14:paraId="4C71110B" w14:textId="77777777" w:rsidR="00DC1C78" w:rsidRDefault="00DC1C78" w:rsidP="00DC1C78">
      <w:pPr>
        <w:pStyle w:val="Constructive"/>
      </w:pPr>
      <w:r>
        <w:t xml:space="preserve">Because there are some concepts and history we need to explain, we offer </w:t>
      </w:r>
    </w:p>
    <w:p w14:paraId="28A7B215" w14:textId="77777777" w:rsidR="00DC1C78" w:rsidRDefault="00DC1C78" w:rsidP="00DC1C78">
      <w:pPr>
        <w:pStyle w:val="Contention1"/>
      </w:pPr>
      <w:bookmarkStart w:id="3" w:name="_Toc266419008"/>
      <w:r>
        <w:t>OBSERVATION 2.  BACKGROUND information.</w:t>
      </w:r>
      <w:bookmarkEnd w:id="3"/>
    </w:p>
    <w:p w14:paraId="4467965C" w14:textId="77777777" w:rsidR="00DC1C78" w:rsidRDefault="00DC1C78" w:rsidP="00DC1C78">
      <w:pPr>
        <w:pStyle w:val="Constructive"/>
      </w:pPr>
      <w:r>
        <w:t>There are two types of roving wiretaps under current federal law:  “Title III” wiretaps – used for investigating ordinary criminals like drug dealers; and “FISA” or Foreign Intelligence Security Act wiretaps, used for investigating foreign individuals operating in the United States – used for investigating spies and terrorists.  Julian Sanchez explains in 2011:</w:t>
      </w:r>
    </w:p>
    <w:p w14:paraId="5500333E" w14:textId="77777777" w:rsidR="00DC1C78" w:rsidRPr="009D368A" w:rsidRDefault="00DC1C78" w:rsidP="00DC1C78">
      <w:pPr>
        <w:pStyle w:val="Citation3"/>
        <w:rPr>
          <w:szCs w:val="59"/>
        </w:rPr>
      </w:pPr>
      <w:proofErr w:type="gramStart"/>
      <w:r w:rsidRPr="005C1C38">
        <w:rPr>
          <w:u w:val="single"/>
        </w:rPr>
        <w:t>Julian Sanchez 2011</w:t>
      </w:r>
      <w:r>
        <w:t>.</w:t>
      </w:r>
      <w:proofErr w:type="gramEnd"/>
      <w:r>
        <w:t xml:space="preserve"> (Senior Fellow, Cato Institute; former Washington Editor for the technology news site </w:t>
      </w:r>
      <w:proofErr w:type="spellStart"/>
      <w:r>
        <w:t>ArsTechnica</w:t>
      </w:r>
      <w:proofErr w:type="spellEnd"/>
      <w:r>
        <w:t>, where he covered surveillance, intellectual property, and telecom policy)</w:t>
      </w:r>
      <w:r w:rsidR="00A855E2">
        <w:t xml:space="preserve"> </w:t>
      </w:r>
      <w:r w:rsidRPr="009D368A">
        <w:rPr>
          <w:szCs w:val="59"/>
        </w:rPr>
        <w:t xml:space="preserve">Leashing the Surveillance State - </w:t>
      </w:r>
      <w:r w:rsidRPr="009D368A">
        <w:rPr>
          <w:szCs w:val="50"/>
        </w:rPr>
        <w:t>How to Reform Patriot Act Surveillance Authoritie</w:t>
      </w:r>
      <w:r>
        <w:rPr>
          <w:szCs w:val="50"/>
        </w:rPr>
        <w:t>s, 16 May 2011</w:t>
      </w:r>
      <w:r w:rsidR="00A855E2">
        <w:rPr>
          <w:szCs w:val="50"/>
        </w:rPr>
        <w:t xml:space="preserve"> </w:t>
      </w:r>
      <w:hyperlink r:id="rId13" w:history="1">
        <w:r w:rsidR="00A371CF" w:rsidRPr="00A066F3">
          <w:rPr>
            <w:rStyle w:val="Hyperlink"/>
            <w:szCs w:val="50"/>
          </w:rPr>
          <w:t>http://www.cato.org/sites/cato.org/files/pubs/pdf/PA675.pdf</w:t>
        </w:r>
      </w:hyperlink>
    </w:p>
    <w:p w14:paraId="03BAB9FA" w14:textId="77777777" w:rsidR="00DC1C78" w:rsidRPr="008F2107" w:rsidRDefault="00DC1C78" w:rsidP="00DC1C78">
      <w:pPr>
        <w:pStyle w:val="Evidence"/>
        <w:rPr>
          <w:szCs w:val="27"/>
        </w:rPr>
      </w:pPr>
      <w:r w:rsidRPr="001D3500">
        <w:rPr>
          <w:szCs w:val="27"/>
          <w:u w:val="single"/>
        </w:rPr>
        <w:t>Roving wiretaps have existed for criminal investigations since 1986.</w:t>
      </w:r>
      <w:r w:rsidRPr="008F2107">
        <w:rPr>
          <w:szCs w:val="27"/>
        </w:rPr>
        <w:t xml:space="preserve"> There is broad agreement, even among staunch civil libertarians, that similar authority should </w:t>
      </w:r>
      <w:proofErr w:type="gramStart"/>
      <w:r w:rsidRPr="008F2107">
        <w:rPr>
          <w:szCs w:val="27"/>
        </w:rPr>
        <w:t>be  available</w:t>
      </w:r>
      <w:proofErr w:type="gramEnd"/>
      <w:r w:rsidRPr="008F2107">
        <w:rPr>
          <w:szCs w:val="27"/>
        </w:rPr>
        <w:t xml:space="preserve"> for terror investigations conducted under the supervision of the Foreign Intelligence Surveillance Court. </w:t>
      </w:r>
      <w:r w:rsidRPr="001D3500">
        <w:rPr>
          <w:szCs w:val="27"/>
          <w:u w:val="single"/>
        </w:rPr>
        <w:t xml:space="preserve">Serious civil liberties concerns remain about the specific statutory language authorizing roving intelligence wiretaps, however. To understand why, it’s necessary to examine some of the broad differences between electronic surveillance warrants under </w:t>
      </w:r>
      <w:r w:rsidR="00A855E2" w:rsidRPr="001D3500">
        <w:rPr>
          <w:szCs w:val="27"/>
          <w:u w:val="single"/>
        </w:rPr>
        <w:t>FISA and</w:t>
      </w:r>
      <w:r w:rsidRPr="001D3500">
        <w:rPr>
          <w:szCs w:val="27"/>
          <w:u w:val="single"/>
        </w:rPr>
        <w:t xml:space="preserve"> the Title III wiretaps employed in criminal investigation</w:t>
      </w:r>
      <w:r w:rsidRPr="008F2107">
        <w:rPr>
          <w:szCs w:val="27"/>
        </w:rPr>
        <w:t>.</w:t>
      </w:r>
    </w:p>
    <w:p w14:paraId="2D7D673D" w14:textId="77777777" w:rsidR="00DC1C78" w:rsidRDefault="00DC1C78" w:rsidP="00DC1C78">
      <w:pPr>
        <w:pStyle w:val="Constructive"/>
      </w:pPr>
      <w:r>
        <w:lastRenderedPageBreak/>
        <w:t xml:space="preserve">We get into those differences in </w:t>
      </w:r>
    </w:p>
    <w:p w14:paraId="3EEE6A93" w14:textId="77777777" w:rsidR="00DC1C78" w:rsidRDefault="00DC1C78" w:rsidP="00DC1C78">
      <w:pPr>
        <w:pStyle w:val="Contention"/>
      </w:pPr>
      <w:r>
        <w:t>OBSERVATION 3.  INHERENCY</w:t>
      </w:r>
    </w:p>
    <w:p w14:paraId="5B7B53F4" w14:textId="77777777" w:rsidR="00DC1C78" w:rsidRDefault="00DC1C78" w:rsidP="00DC1C78">
      <w:pPr>
        <w:pStyle w:val="Constructive"/>
      </w:pPr>
      <w:proofErr w:type="gramStart"/>
      <w:r>
        <w:t>Or the structure of the Status Quo.</w:t>
      </w:r>
      <w:proofErr w:type="gramEnd"/>
      <w:r>
        <w:t xml:space="preserve"> Two key FACTS</w:t>
      </w:r>
    </w:p>
    <w:p w14:paraId="2550AD94" w14:textId="77777777" w:rsidR="00DC1C78" w:rsidRDefault="00DC1C78" w:rsidP="00DC1C78">
      <w:pPr>
        <w:pStyle w:val="Contention2"/>
      </w:pPr>
      <w:bookmarkStart w:id="4" w:name="_Toc266419009"/>
      <w:r>
        <w:t xml:space="preserve">FACT 1.  </w:t>
      </w:r>
      <w:proofErr w:type="gramStart"/>
      <w:r>
        <w:t>FISA roving wiretaps.</w:t>
      </w:r>
      <w:proofErr w:type="gramEnd"/>
      <w:r>
        <w:t xml:space="preserve">  The PATRIOT Act created FISA roving wiretaps.</w:t>
      </w:r>
      <w:bookmarkEnd w:id="4"/>
    </w:p>
    <w:p w14:paraId="231FDCDC" w14:textId="77777777" w:rsidR="00DC1C78" w:rsidRPr="00486F31" w:rsidRDefault="00DC1C78" w:rsidP="00DC1C78">
      <w:pPr>
        <w:pStyle w:val="Citation3"/>
      </w:pPr>
      <w:proofErr w:type="gramStart"/>
      <w:r w:rsidRPr="00486F31">
        <w:rPr>
          <w:u w:val="single"/>
        </w:rPr>
        <w:t xml:space="preserve">Jerome P. </w:t>
      </w:r>
      <w:proofErr w:type="spellStart"/>
      <w:r w:rsidRPr="00486F31">
        <w:rPr>
          <w:u w:val="single"/>
        </w:rPr>
        <w:t>Bjelopera</w:t>
      </w:r>
      <w:proofErr w:type="spellEnd"/>
      <w:r w:rsidRPr="00486F31">
        <w:rPr>
          <w:u w:val="single"/>
        </w:rPr>
        <w:t xml:space="preserve"> 2013.</w:t>
      </w:r>
      <w:proofErr w:type="gramEnd"/>
      <w:r w:rsidRPr="00486F31">
        <w:t xml:space="preserve"> (Specialist in Organized Crime and Terrorism with Congressional Research Service) 24 Apr 2013 </w:t>
      </w:r>
      <w:r w:rsidRPr="00486F31">
        <w:rPr>
          <w:szCs w:val="54"/>
        </w:rPr>
        <w:t xml:space="preserve">The Federal Bureau of Investigation and Terrorism Investigations </w:t>
      </w:r>
      <w:hyperlink r:id="rId14" w:history="1">
        <w:r w:rsidR="00A371CF" w:rsidRPr="00A066F3">
          <w:rPr>
            <w:rStyle w:val="Hyperlink"/>
          </w:rPr>
          <w:t>http://www.fas.org/sgp/crs/terror/R41780.pdf</w:t>
        </w:r>
      </w:hyperlink>
    </w:p>
    <w:p w14:paraId="1868B273" w14:textId="77777777" w:rsidR="00DC1C78" w:rsidRPr="0031574E" w:rsidRDefault="00DC1C78" w:rsidP="00DC1C78">
      <w:pPr>
        <w:pStyle w:val="Evidence"/>
        <w:rPr>
          <w:sz w:val="17"/>
          <w:szCs w:val="17"/>
        </w:rPr>
      </w:pPr>
      <w:r w:rsidRPr="0031574E">
        <w:t xml:space="preserve">Before the USA PATRIOT Act, the concept behind roving wiretaps did not apply to </w:t>
      </w:r>
      <w:proofErr w:type="spellStart"/>
      <w:r w:rsidRPr="0031574E">
        <w:t>FISA.The</w:t>
      </w:r>
      <w:proofErr w:type="spellEnd"/>
      <w:r w:rsidRPr="0031574E">
        <w:t xml:space="preserve"> USA PATRIOT Act amended the electronic surveillance portion of FISA to allow government agents to continue surveillance when “the target of the surveillance switches from a facility (e.g., a telephone) associated with one service provider (e.g., a telephone company) to a different facility associated with a different provider.”</w:t>
      </w:r>
    </w:p>
    <w:p w14:paraId="0392A70B" w14:textId="77777777" w:rsidR="00DC1C78" w:rsidRDefault="00DC1C78" w:rsidP="00DC1C78">
      <w:pPr>
        <w:pStyle w:val="Contention2"/>
      </w:pPr>
      <w:bookmarkStart w:id="5" w:name="_Toc266419010"/>
      <w:r>
        <w:t>FACT 2.  Missing safeguards.   Regular criminal investigation roving wiretapping has safeguards that limit the scope of conversations that can be intercepted.  But the FISA wiretaps lack these safeguards.</w:t>
      </w:r>
      <w:bookmarkEnd w:id="5"/>
    </w:p>
    <w:p w14:paraId="2C1F0C7E" w14:textId="77777777" w:rsidR="00DC1C78" w:rsidRDefault="00DC1C78" w:rsidP="00DC1C78">
      <w:pPr>
        <w:pStyle w:val="Citation3"/>
      </w:pPr>
      <w:r w:rsidRPr="00E90053">
        <w:rPr>
          <w:u w:val="single"/>
        </w:rPr>
        <w:t>Sen. Richard Durbin 2011</w:t>
      </w:r>
      <w:r w:rsidR="00A855E2">
        <w:t>.</w:t>
      </w:r>
      <w:r w:rsidRPr="00E90053">
        <w:t xml:space="preserve"> (D-Illinois) </w:t>
      </w:r>
      <w:r w:rsidRPr="00DC1C78">
        <w:rPr>
          <w:u w:color="7F7F7F"/>
        </w:rPr>
        <w:t>Statement on Durbin-Lee Roving Wiretap Amendment to the PATRIOT Act</w:t>
      </w:r>
      <w:r w:rsidRPr="00E90053">
        <w:t xml:space="preserve"> 10 Mar 2011</w:t>
      </w:r>
      <w:r w:rsidR="00A855E2">
        <w:t xml:space="preserve"> </w:t>
      </w:r>
      <w:hyperlink r:id="rId15" w:history="1">
        <w:r w:rsidR="00A371CF" w:rsidRPr="00A066F3">
          <w:rPr>
            <w:rStyle w:val="Hyperlink"/>
          </w:rPr>
          <w:t>http://www.durbin.senate.gov/public/index.cfm/statementscommentary?ID=e1c5e6b8-0b6f-4705-a2e2-679eb502eb0d</w:t>
        </w:r>
      </w:hyperlink>
    </w:p>
    <w:p w14:paraId="3E2EF9CB" w14:textId="77777777" w:rsidR="00DC1C78" w:rsidRDefault="00DC1C78" w:rsidP="00DC1C78">
      <w:pPr>
        <w:pStyle w:val="Evidence"/>
      </w:pPr>
      <w:r>
        <w:t>“</w:t>
      </w:r>
      <w:r w:rsidRPr="005D1ED1">
        <w:rPr>
          <w:u w:val="single"/>
        </w:rPr>
        <w:t>Under current law, the FBI is not required to ascertain the presence of the target of the wiretap at the place being wiretapped, as it is for criminal wiretaps</w:t>
      </w:r>
      <w:r w:rsidRPr="00E90053">
        <w:t xml:space="preserve">. The Intelligence Authorization Act of 2002 made another dramatic change in the law. </w:t>
      </w:r>
      <w:r w:rsidRPr="005D1ED1">
        <w:rPr>
          <w:u w:val="single"/>
        </w:rPr>
        <w:t xml:space="preserve">The FBI is now permitted to obtain a “John Doe” roving wiretap under FISA, an authority that doesn’t exist in any other context. </w:t>
      </w:r>
      <w:r w:rsidRPr="005D1ED1">
        <w:t>A “John Doe” roving wiretap does not specify the target of the wiretap or the place to be wiretapped. In other words</w:t>
      </w:r>
      <w:r w:rsidRPr="00A855E2">
        <w:t xml:space="preserve">, </w:t>
      </w:r>
      <w:r w:rsidRPr="005D1ED1">
        <w:rPr>
          <w:u w:val="single"/>
        </w:rPr>
        <w:t>the FBI can obtain a wiretap without saying whom they want to wiretap or where they want to wiretap.</w:t>
      </w:r>
      <w:r>
        <w:t>”</w:t>
      </w:r>
    </w:p>
    <w:p w14:paraId="2B31A72E" w14:textId="77777777" w:rsidR="00DC1C78" w:rsidRPr="00085C61" w:rsidRDefault="00DC1C78" w:rsidP="00085C61">
      <w:pPr>
        <w:pStyle w:val="Constructive"/>
        <w:keepNext w:val="0"/>
      </w:pPr>
      <w:r w:rsidRPr="00085C61">
        <w:rPr>
          <w:b/>
        </w:rPr>
        <w:t>END QUOTE.</w:t>
      </w:r>
      <w:r w:rsidRPr="00085C61">
        <w:t xml:space="preserve">  To summarize, there’s a difference in how the federal government wiretaps, let’s say, Tony Soprano, the American mob suspect, compared with how they investigate Russian spies.  To wiretap Tony, they have to get a Title III warrant, which will allow them to tap only phones Tony might be using during times when Tony is using them or likely to be using them.  For the spies, the FBI will merely assert that they are investigating some unknown Russian spies under FISA.  The court will then allow them to wiretap anyone anywhere anytime that various Russians who might or might not be spies might ever be.</w:t>
      </w:r>
      <w:r w:rsidR="00160EC9" w:rsidRPr="00085C61">
        <w:t xml:space="preserve"> </w:t>
      </w:r>
    </w:p>
    <w:p w14:paraId="2AE75FA9" w14:textId="77777777" w:rsidR="00DC1C78" w:rsidRDefault="00DC1C78" w:rsidP="00DC1C78">
      <w:pPr>
        <w:pStyle w:val="Constructive"/>
      </w:pPr>
      <w:r>
        <w:lastRenderedPageBreak/>
        <w:t xml:space="preserve">Now let’s learn why wiretapping anyone anywhere is bad in </w:t>
      </w:r>
    </w:p>
    <w:p w14:paraId="094DA8F8" w14:textId="77777777" w:rsidR="00DC1C78" w:rsidRDefault="00DC1C78" w:rsidP="00DC1C78">
      <w:pPr>
        <w:pStyle w:val="Contention1"/>
      </w:pPr>
      <w:bookmarkStart w:id="6" w:name="_Toc266419011"/>
      <w:r>
        <w:t>OBSERVATION 4. The HARM.</w:t>
      </w:r>
      <w:bookmarkEnd w:id="6"/>
    </w:p>
    <w:p w14:paraId="0357EC04" w14:textId="77777777" w:rsidR="00DC1C78" w:rsidRDefault="00DC1C78" w:rsidP="00DC1C78">
      <w:pPr>
        <w:pStyle w:val="Constructive"/>
      </w:pPr>
      <w:r>
        <w:t xml:space="preserve">We can summarize the Harm in one simple phrase: Loss of civil rights.  We’ll develop it with 3 LINKS and an IMPACT. </w:t>
      </w:r>
    </w:p>
    <w:p w14:paraId="5F061896" w14:textId="77777777" w:rsidR="00DC1C78" w:rsidRDefault="00DC1C78" w:rsidP="00DC1C78">
      <w:pPr>
        <w:pStyle w:val="Contention2"/>
      </w:pPr>
      <w:bookmarkStart w:id="7" w:name="_Toc266419012"/>
      <w:r>
        <w:t>The first LINK is: Higher risk.  Lack of safeguards puts FISA wiretapping at far higher risk of improper surveillance compared to Title III criminal investigations.</w:t>
      </w:r>
      <w:bookmarkEnd w:id="7"/>
    </w:p>
    <w:p w14:paraId="07EA291B" w14:textId="77777777" w:rsidR="00DC1C78" w:rsidRPr="009D368A" w:rsidRDefault="00DC1C78" w:rsidP="00DC1C78">
      <w:pPr>
        <w:pStyle w:val="Citation3"/>
        <w:rPr>
          <w:szCs w:val="59"/>
        </w:rPr>
      </w:pPr>
      <w:proofErr w:type="gramStart"/>
      <w:r w:rsidRPr="005C1C38">
        <w:rPr>
          <w:u w:val="single"/>
        </w:rPr>
        <w:t>Julian Sanchez 2011</w:t>
      </w:r>
      <w:r>
        <w:t>.</w:t>
      </w:r>
      <w:proofErr w:type="gramEnd"/>
      <w:r>
        <w:t xml:space="preserve"> (Senior Fellow, Cato Institute; former Washington Editor for the technology news site </w:t>
      </w:r>
      <w:proofErr w:type="spellStart"/>
      <w:r>
        <w:t>ArsTechnica</w:t>
      </w:r>
      <w:proofErr w:type="spellEnd"/>
      <w:r>
        <w:t xml:space="preserve">, where he covered surveillance, intellectual property, and telecom </w:t>
      </w:r>
      <w:proofErr w:type="gramStart"/>
      <w:r>
        <w:t>policy )</w:t>
      </w:r>
      <w:proofErr w:type="gramEnd"/>
      <w:r w:rsidRPr="009D368A">
        <w:rPr>
          <w:szCs w:val="59"/>
        </w:rPr>
        <w:t xml:space="preserve">Leashing the Surveillance State - </w:t>
      </w:r>
      <w:r w:rsidRPr="009D368A">
        <w:rPr>
          <w:szCs w:val="50"/>
        </w:rPr>
        <w:t>How to Reform Patriot Act Surveillance Authoritie</w:t>
      </w:r>
      <w:r>
        <w:rPr>
          <w:szCs w:val="50"/>
        </w:rPr>
        <w:t>s, 16 May 2011</w:t>
      </w:r>
      <w:r>
        <w:t xml:space="preserve"> (Brackets in original) </w:t>
      </w:r>
      <w:hyperlink r:id="rId16" w:history="1">
        <w:r w:rsidR="00A371CF" w:rsidRPr="00A066F3">
          <w:rPr>
            <w:rStyle w:val="Hyperlink"/>
            <w:szCs w:val="50"/>
          </w:rPr>
          <w:t>http://www.cato.org/sites/cato.org/files/pubs/pdf/PA675.pdf</w:t>
        </w:r>
      </w:hyperlink>
    </w:p>
    <w:p w14:paraId="3D37B8E4" w14:textId="77777777" w:rsidR="00DC1C78" w:rsidRDefault="00DC1C78" w:rsidP="00DC1C78">
      <w:pPr>
        <w:pStyle w:val="Evidence"/>
        <w:rPr>
          <w:szCs w:val="27"/>
        </w:rPr>
      </w:pPr>
      <w:r w:rsidRPr="00BA291E">
        <w:rPr>
          <w:szCs w:val="27"/>
        </w:rPr>
        <w:t xml:space="preserve">While permitting John Doe warrants under Title III would be problematic for all these reasons, </w:t>
      </w:r>
      <w:r w:rsidRPr="005D1ED1">
        <w:rPr>
          <w:szCs w:val="27"/>
          <w:u w:val="single"/>
        </w:rPr>
        <w:t xml:space="preserve">the risk of improper </w:t>
      </w:r>
      <w:r w:rsidR="00A855E2" w:rsidRPr="005D1ED1">
        <w:rPr>
          <w:szCs w:val="27"/>
          <w:u w:val="single"/>
        </w:rPr>
        <w:t>over collection</w:t>
      </w:r>
      <w:r w:rsidRPr="005D1ED1">
        <w:rPr>
          <w:szCs w:val="27"/>
          <w:u w:val="single"/>
        </w:rPr>
        <w:t xml:space="preserve"> is actually far greater in the intelligence context because</w:t>
      </w:r>
      <w:r w:rsidRPr="00BA291E">
        <w:rPr>
          <w:szCs w:val="27"/>
        </w:rPr>
        <w:t>, as discussed above in the analysis of the Lone Wolf provision</w:t>
      </w:r>
      <w:r w:rsidRPr="005D1ED1">
        <w:rPr>
          <w:szCs w:val="27"/>
          <w:u w:val="single"/>
        </w:rPr>
        <w:t>, FISA surveillance is in general far broader than its Title III counterpart.“[</w:t>
      </w:r>
      <w:proofErr w:type="gramStart"/>
      <w:r w:rsidRPr="005D1ED1">
        <w:rPr>
          <w:szCs w:val="27"/>
          <w:u w:val="single"/>
        </w:rPr>
        <w:t>L]</w:t>
      </w:r>
      <w:proofErr w:type="spellStart"/>
      <w:r w:rsidRPr="005D1ED1">
        <w:rPr>
          <w:szCs w:val="27"/>
          <w:u w:val="single"/>
        </w:rPr>
        <w:t>arge</w:t>
      </w:r>
      <w:proofErr w:type="spellEnd"/>
      <w:proofErr w:type="gramEnd"/>
      <w:r w:rsidRPr="005D1ED1">
        <w:rPr>
          <w:szCs w:val="27"/>
          <w:u w:val="single"/>
        </w:rPr>
        <w:t xml:space="preserve"> amounts of information are collected by automatic recording to be minimized after the fact,” and that after-the-fact “minimization” may not always entail the destruction of the “minimized” information</w:t>
      </w:r>
      <w:r w:rsidRPr="00BA291E">
        <w:rPr>
          <w:szCs w:val="27"/>
        </w:rPr>
        <w:t xml:space="preserve">. </w:t>
      </w:r>
    </w:p>
    <w:p w14:paraId="1DBCD2A1" w14:textId="77777777" w:rsidR="00DC1C78" w:rsidRDefault="00DC1C78" w:rsidP="00DC1C78">
      <w:pPr>
        <w:pStyle w:val="Contention2"/>
      </w:pPr>
      <w:bookmarkStart w:id="8" w:name="_Toc266419013"/>
      <w:r>
        <w:t>The second LINK is:  A real-life example.  Federal agents wiretapped a child for 5 days</w:t>
      </w:r>
      <w:bookmarkEnd w:id="8"/>
    </w:p>
    <w:p w14:paraId="6FE92F1F" w14:textId="77777777" w:rsidR="00DC1C78" w:rsidRPr="009D368A" w:rsidRDefault="00DC1C78" w:rsidP="00DC1C78">
      <w:pPr>
        <w:pStyle w:val="Citation3"/>
        <w:rPr>
          <w:szCs w:val="59"/>
        </w:rPr>
      </w:pPr>
      <w:proofErr w:type="gramStart"/>
      <w:r w:rsidRPr="005C1C38">
        <w:rPr>
          <w:u w:val="single"/>
        </w:rPr>
        <w:t>Julian Sanchez 2011</w:t>
      </w:r>
      <w:r>
        <w:t>.</w:t>
      </w:r>
      <w:proofErr w:type="gramEnd"/>
      <w:r>
        <w:t xml:space="preserve"> (Senior Fellow, Cato Institute; former Washington Editor for the technology news site </w:t>
      </w:r>
      <w:proofErr w:type="spellStart"/>
      <w:r>
        <w:t>ArsTechnica</w:t>
      </w:r>
      <w:proofErr w:type="spellEnd"/>
      <w:r>
        <w:t xml:space="preserve">, where he covered surveillance, intellectual property, and telecom </w:t>
      </w:r>
      <w:r w:rsidR="00A855E2">
        <w:t xml:space="preserve">policy) </w:t>
      </w:r>
      <w:r w:rsidRPr="009D368A">
        <w:rPr>
          <w:szCs w:val="59"/>
        </w:rPr>
        <w:t xml:space="preserve">Leashing the Surveillance State - </w:t>
      </w:r>
      <w:r w:rsidRPr="009D368A">
        <w:rPr>
          <w:szCs w:val="50"/>
        </w:rPr>
        <w:t>How to Reform Patriot Act Surveillance Authoritie</w:t>
      </w:r>
      <w:r>
        <w:rPr>
          <w:szCs w:val="50"/>
        </w:rPr>
        <w:t>s, 16 May 2011</w:t>
      </w:r>
      <w:r w:rsidR="00A855E2">
        <w:rPr>
          <w:szCs w:val="50"/>
        </w:rPr>
        <w:t xml:space="preserve"> </w:t>
      </w:r>
      <w:hyperlink r:id="rId17" w:history="1">
        <w:r w:rsidR="00A371CF" w:rsidRPr="00A066F3">
          <w:rPr>
            <w:rStyle w:val="Hyperlink"/>
            <w:szCs w:val="50"/>
          </w:rPr>
          <w:t>http://www.cato.org/sites/cato.org/files/pubs/pdf/PA675.pdf</w:t>
        </w:r>
      </w:hyperlink>
    </w:p>
    <w:p w14:paraId="5FC1A0C9" w14:textId="77777777" w:rsidR="00DC1C78" w:rsidRDefault="00DC1C78" w:rsidP="00DC1C78">
      <w:pPr>
        <w:pStyle w:val="Evidence"/>
      </w:pPr>
      <w:r w:rsidRPr="00BA291E">
        <w:t xml:space="preserve">A reported intelligence violation uncovered by a Freedom of Information Act request from the Electronic Frontier Foundation provides a concrete illustration of </w:t>
      </w:r>
      <w:proofErr w:type="spellStart"/>
      <w:proofErr w:type="gramStart"/>
      <w:r w:rsidRPr="00BA291E">
        <w:t>thepoint.In</w:t>
      </w:r>
      <w:proofErr w:type="spellEnd"/>
      <w:proofErr w:type="gramEnd"/>
      <w:r w:rsidRPr="00BA291E">
        <w:t xml:space="preserve"> an investigation of an apparently named, identified couple under FISA roving authority, a clerical error resulted in a line no longer used by the targets being included in an order renewing electronic surveillance. Subsequently, a phone apparently used by a young child was monitored for five days until agents realized the mistake. </w:t>
      </w:r>
    </w:p>
    <w:p w14:paraId="224227D9" w14:textId="77777777" w:rsidR="00DC1C78" w:rsidRPr="00BA291E" w:rsidRDefault="00DC1C78" w:rsidP="00DC1C78">
      <w:pPr>
        <w:pStyle w:val="Contention2"/>
      </w:pPr>
      <w:bookmarkStart w:id="9" w:name="_Toc266419014"/>
      <w:r>
        <w:t>The third LINK is:  4</w:t>
      </w:r>
      <w:r w:rsidRPr="00B109EC">
        <w:rPr>
          <w:vertAlign w:val="superscript"/>
        </w:rPr>
        <w:t>th</w:t>
      </w:r>
      <w:r>
        <w:t xml:space="preserve"> Amendment weakened.  FISA wiretapping undercuts 4</w:t>
      </w:r>
      <w:r w:rsidRPr="006D1FC8">
        <w:rPr>
          <w:vertAlign w:val="superscript"/>
        </w:rPr>
        <w:t>th</w:t>
      </w:r>
      <w:r>
        <w:t xml:space="preserve"> Amendment privacy</w:t>
      </w:r>
      <w:bookmarkEnd w:id="9"/>
    </w:p>
    <w:p w14:paraId="5EFF67BA" w14:textId="77777777" w:rsidR="00DC1C78" w:rsidRPr="006D1FC8" w:rsidRDefault="00DC1C78" w:rsidP="00DC1C78">
      <w:pPr>
        <w:pStyle w:val="Citation3"/>
        <w:rPr>
          <w:szCs w:val="27"/>
        </w:rPr>
      </w:pPr>
      <w:r w:rsidRPr="006D1FC8">
        <w:rPr>
          <w:u w:val="single"/>
        </w:rPr>
        <w:t>John W. Whitehead and Steven H. Aden 2002</w:t>
      </w:r>
      <w:r>
        <w:t xml:space="preserve">. (Whitehead – attorney; president of The Rutherford Institute. Aden – attorney; chief litigation counsel for The Rutherford Institute) </w:t>
      </w:r>
      <w:r w:rsidRPr="006D1FC8">
        <w:t>FORFEITING “ENDURING FREEDOM” FOR“HOMELAND SECURITY”</w:t>
      </w:r>
      <w:r w:rsidR="00A855E2" w:rsidRPr="006D1FC8">
        <w:t>: A</w:t>
      </w:r>
      <w:r w:rsidRPr="006D1FC8">
        <w:t xml:space="preserve"> CONSTITUTIONAL ANALYSIS OF THEUSA PATRIOT ACT AND THE JUSTICEDEPARTMENT’S ANTI-TERRORISMINITIATIVES</w:t>
      </w:r>
      <w:r>
        <w:t>, AMERICAN UNIVERSITY LAW REVIEW</w:t>
      </w:r>
      <w:r w:rsidR="00A855E2">
        <w:t xml:space="preserve"> </w:t>
      </w:r>
      <w:hyperlink r:id="rId18" w:history="1">
        <w:r w:rsidR="00A371CF" w:rsidRPr="00A066F3">
          <w:rPr>
            <w:rStyle w:val="Hyperlink"/>
          </w:rPr>
          <w:t>http://www.wcl.american.edu/journal/lawrev/51/correctedaden.pdf</w:t>
        </w:r>
      </w:hyperlink>
    </w:p>
    <w:p w14:paraId="073B37BF" w14:textId="77777777" w:rsidR="00DC1C78" w:rsidRPr="006D1FC8" w:rsidRDefault="00DC1C78" w:rsidP="00DC1C78">
      <w:pPr>
        <w:pStyle w:val="Evidence"/>
      </w:pPr>
      <w:r w:rsidRPr="006D1FC8">
        <w:t xml:space="preserve">The expansion of the definition of those subjected to </w:t>
      </w:r>
      <w:r w:rsidR="00A855E2" w:rsidRPr="006D1FC8">
        <w:t>surveillance further</w:t>
      </w:r>
      <w:r w:rsidRPr="006D1FC8">
        <w:t xml:space="preserve"> undercuts Fourth Amendment privacy. Section 206 of </w:t>
      </w:r>
      <w:r w:rsidR="00A855E2" w:rsidRPr="006D1FC8">
        <w:t>the Patriot</w:t>
      </w:r>
      <w:r w:rsidRPr="006D1FC8">
        <w:t xml:space="preserve"> Act amends FISA to allow the imposition of the FISA </w:t>
      </w:r>
      <w:r w:rsidR="00A855E2" w:rsidRPr="006D1FC8">
        <w:t>wiretap warrant</w:t>
      </w:r>
      <w:r w:rsidRPr="006D1FC8">
        <w:t xml:space="preserve"> against unspecified persons, rather than </w:t>
      </w:r>
      <w:r w:rsidR="00A855E2" w:rsidRPr="006D1FC8">
        <w:t>specific communications</w:t>
      </w:r>
      <w:r w:rsidRPr="006D1FC8">
        <w:t xml:space="preserve"> providers, thus allowing federal agents to apply FISA</w:t>
      </w:r>
      <w:r w:rsidR="00A855E2">
        <w:t xml:space="preserve"> </w:t>
      </w:r>
      <w:r w:rsidRPr="006D1FC8">
        <w:t>wiretaps to any provider of communications services without</w:t>
      </w:r>
      <w:r w:rsidR="00A855E2">
        <w:t xml:space="preserve"> </w:t>
      </w:r>
      <w:r w:rsidRPr="006D1FC8">
        <w:t>geographical limitation.</w:t>
      </w:r>
    </w:p>
    <w:p w14:paraId="05D64074" w14:textId="77777777" w:rsidR="00DC1C78" w:rsidRDefault="00DC1C78" w:rsidP="00DC1C78">
      <w:pPr>
        <w:pStyle w:val="Contention2"/>
      </w:pPr>
      <w:bookmarkStart w:id="10" w:name="_Toc266419015"/>
      <w:r>
        <w:t>And finally the IMPACT: Tyranny and oppression.  Wiretapping is an instrument of tyranny and oppression.</w:t>
      </w:r>
      <w:bookmarkEnd w:id="10"/>
    </w:p>
    <w:p w14:paraId="0773601C" w14:textId="77777777" w:rsidR="00DC1C78" w:rsidRDefault="00DC1C78" w:rsidP="00DC1C78">
      <w:pPr>
        <w:pStyle w:val="Citation3"/>
      </w:pPr>
      <w:proofErr w:type="gramStart"/>
      <w:r w:rsidRPr="00A85031">
        <w:rPr>
          <w:u w:val="single"/>
        </w:rPr>
        <w:t>Supreme Court Justice Louis Brandeis 1928.</w:t>
      </w:r>
      <w:proofErr w:type="gramEnd"/>
      <w:r>
        <w:t xml:space="preserve"> Dissenting opinion in the case of Olmstead v. United States - 277 U.S. 438, 4 June 1928 </w:t>
      </w:r>
      <w:hyperlink r:id="rId19" w:history="1">
        <w:r w:rsidR="00A371CF" w:rsidRPr="00A066F3">
          <w:rPr>
            <w:rStyle w:val="Hyperlink"/>
          </w:rPr>
          <w:t>https://supreme.justia.com/cases/federal/us/277/438/case.html</w:t>
        </w:r>
      </w:hyperlink>
    </w:p>
    <w:p w14:paraId="703ACDF6" w14:textId="77777777" w:rsidR="00DC1C78" w:rsidRDefault="00DC1C78" w:rsidP="00DC1C78">
      <w:pPr>
        <w:pStyle w:val="Evidence"/>
      </w:pPr>
      <w:r w:rsidRPr="00247BA0">
        <w:t xml:space="preserve">The evil incident to invasion of the privacy of the telephone is far greater than that involved in tampering with the mails. </w:t>
      </w:r>
      <w:r w:rsidRPr="00B109EC">
        <w:rPr>
          <w:u w:val="single"/>
        </w:rPr>
        <w:t>Whenever a telephone line is tapped, the privacy of the persons at both ends of the line is invaded and all conversations between them</w:t>
      </w:r>
      <w:r w:rsidRPr="00247BA0">
        <w:t xml:space="preserve"> upon any subject, and, although proper, confidential and privileged, </w:t>
      </w:r>
      <w:r w:rsidRPr="00B109EC">
        <w:rPr>
          <w:u w:val="single"/>
        </w:rPr>
        <w:t>may be overheard</w:t>
      </w:r>
      <w:r w:rsidRPr="00247BA0">
        <w:t xml:space="preserve">. </w:t>
      </w:r>
      <w:r w:rsidRPr="00B109EC">
        <w:rPr>
          <w:u w:val="single"/>
        </w:rPr>
        <w:t>Moreover, the tapping of one man's telephone line involves the tapping of the telephone of every other person whom he may call or who may call him. As a means of espionage, writs of assistance and general warrants are but puny instruments of tyranny and oppression when compared with wiretapping</w:t>
      </w:r>
      <w:r w:rsidRPr="00247BA0">
        <w:t>.</w:t>
      </w:r>
    </w:p>
    <w:p w14:paraId="1AFC54A0" w14:textId="77777777" w:rsidR="00DC1C78" w:rsidRDefault="00DC1C78" w:rsidP="00DC1C78">
      <w:pPr>
        <w:pStyle w:val="Constructive"/>
      </w:pPr>
      <w:r>
        <w:lastRenderedPageBreak/>
        <w:t xml:space="preserve">These problems lead to </w:t>
      </w:r>
    </w:p>
    <w:p w14:paraId="5D473426" w14:textId="77777777" w:rsidR="00DC1C78" w:rsidRDefault="00DC1C78" w:rsidP="00DC1C78">
      <w:pPr>
        <w:pStyle w:val="Contention1"/>
      </w:pPr>
      <w:bookmarkStart w:id="11" w:name="_Toc266419016"/>
      <w:r>
        <w:t xml:space="preserve">OBSERVATION 5.  </w:t>
      </w:r>
      <w:proofErr w:type="gramStart"/>
      <w:r>
        <w:t>Our PLAN, to be implemented by Congress and the President.</w:t>
      </w:r>
      <w:bookmarkEnd w:id="11"/>
      <w:proofErr w:type="gramEnd"/>
    </w:p>
    <w:p w14:paraId="0FA86E39" w14:textId="77777777" w:rsidR="00DC1C78" w:rsidRDefault="00DC1C78" w:rsidP="00DC1C78">
      <w:pPr>
        <w:pStyle w:val="Case"/>
      </w:pPr>
      <w:r w:rsidRPr="00B109EC">
        <w:rPr>
          <w:u w:val="single"/>
        </w:rPr>
        <w:t>Apply the safeguards</w:t>
      </w:r>
      <w:r>
        <w:t xml:space="preserve">.  Title III requirements for roving wiretap warrants will be applied to FISA roving wiretaps.   It means that FISA warrants must name the person being investigated and surveillance may only occur when that person is present or likely to be present.  </w:t>
      </w:r>
    </w:p>
    <w:p w14:paraId="4B994112" w14:textId="77777777" w:rsidR="00DC1C78" w:rsidRDefault="00DC1C78" w:rsidP="00DC1C78">
      <w:pPr>
        <w:pStyle w:val="Case"/>
      </w:pPr>
      <w:r w:rsidRPr="0094410D">
        <w:rPr>
          <w:u w:val="single"/>
        </w:rPr>
        <w:t>Enforcement</w:t>
      </w:r>
      <w:r>
        <w:t xml:space="preserve">. Federal courts will apply the Title III rules when deciding whether to issue FISA warrants and they will exclude from trial any evidence collected in violation of the safeguards.  Federal agents in violation will be disciplined or fired.  </w:t>
      </w:r>
    </w:p>
    <w:p w14:paraId="51622A80" w14:textId="77777777" w:rsidR="00DC1C78" w:rsidRDefault="00DC1C78" w:rsidP="00DC1C78">
      <w:pPr>
        <w:pStyle w:val="Case"/>
      </w:pPr>
      <w:r w:rsidRPr="0094410D">
        <w:rPr>
          <w:u w:val="single"/>
        </w:rPr>
        <w:t>Funding</w:t>
      </w:r>
      <w:r>
        <w:t xml:space="preserve"> through existing budgets of existing agencies.</w:t>
      </w:r>
    </w:p>
    <w:p w14:paraId="3E055DF8" w14:textId="77777777" w:rsidR="00DC1C78" w:rsidRDefault="00DC1C78" w:rsidP="00DC1C78">
      <w:pPr>
        <w:pStyle w:val="Case"/>
      </w:pPr>
      <w:r>
        <w:t>Plan takes effect the day after an Affirmative ballot.</w:t>
      </w:r>
    </w:p>
    <w:p w14:paraId="6EF2DB64" w14:textId="77777777" w:rsidR="00DC1C78" w:rsidRPr="0094410D" w:rsidRDefault="00DC1C78" w:rsidP="00DC1C78">
      <w:pPr>
        <w:pStyle w:val="Case"/>
      </w:pPr>
      <w:r>
        <w:t>All Affirmative speeches may clarify the plan.</w:t>
      </w:r>
    </w:p>
    <w:p w14:paraId="75D78589" w14:textId="77777777" w:rsidR="00DC1C78" w:rsidRDefault="00DC1C78" w:rsidP="00DC1C78">
      <w:pPr>
        <w:pStyle w:val="Constructive"/>
      </w:pPr>
      <w:r>
        <w:t xml:space="preserve">Finally, we show the Plan works in </w:t>
      </w:r>
    </w:p>
    <w:p w14:paraId="682ABC7F" w14:textId="77777777" w:rsidR="00DC1C78" w:rsidRDefault="00DC1C78" w:rsidP="00DC1C78">
      <w:pPr>
        <w:pStyle w:val="Contention1"/>
      </w:pPr>
      <w:bookmarkStart w:id="12" w:name="_Toc266419017"/>
      <w:r>
        <w:t>OBSERVATION 6.  SOLVENCY.</w:t>
      </w:r>
      <w:bookmarkEnd w:id="12"/>
    </w:p>
    <w:p w14:paraId="4A8E4B59" w14:textId="77777777" w:rsidR="00DC1C78" w:rsidRDefault="00DC1C78" w:rsidP="00DC1C78">
      <w:pPr>
        <w:pStyle w:val="Constructive"/>
      </w:pPr>
      <w:r>
        <w:t>Title III safeguards are key to stopping 4</w:t>
      </w:r>
      <w:r w:rsidRPr="00FF1318">
        <w:rPr>
          <w:vertAlign w:val="superscript"/>
        </w:rPr>
        <w:t>th</w:t>
      </w:r>
      <w:r>
        <w:t xml:space="preserve"> Amendment violations.  In fact, the same safeguards we offer in our plan were actually proposed by Sen. Russ Feingold back in 2001 when the Patriot Act was being debated in Congress.  Unfortunately, Congress was in a rush to pass the bill, so they didn’t take time to include the safeguards.  Sharon </w:t>
      </w:r>
      <w:proofErr w:type="spellStart"/>
      <w:r>
        <w:t>Rackow</w:t>
      </w:r>
      <w:proofErr w:type="spellEnd"/>
      <w:r>
        <w:t xml:space="preserve"> explained in 2002 how these safeguards would have solved the problem. She said QUOTE:</w:t>
      </w:r>
    </w:p>
    <w:p w14:paraId="4FED6ECC" w14:textId="77777777" w:rsidR="00DC1C78" w:rsidRDefault="00DC1C78" w:rsidP="00DC1C78">
      <w:pPr>
        <w:pStyle w:val="Contention2"/>
      </w:pPr>
      <w:bookmarkStart w:id="13" w:name="_Toc266419018"/>
      <w:r>
        <w:t>Title III safeguards are key to stopping 4</w:t>
      </w:r>
      <w:r w:rsidRPr="00FF1318">
        <w:rPr>
          <w:vertAlign w:val="superscript"/>
        </w:rPr>
        <w:t>th</w:t>
      </w:r>
      <w:r>
        <w:t xml:space="preserve"> Amendment violations.</w:t>
      </w:r>
      <w:bookmarkEnd w:id="13"/>
    </w:p>
    <w:p w14:paraId="62C05D4D" w14:textId="77777777" w:rsidR="00DC1C78" w:rsidRDefault="00DC1C78" w:rsidP="00DC1C78">
      <w:pPr>
        <w:pStyle w:val="Citation3"/>
      </w:pPr>
      <w:r w:rsidRPr="00247BA0">
        <w:rPr>
          <w:u w:val="single"/>
        </w:rPr>
        <w:t xml:space="preserve">Sharon </w:t>
      </w:r>
      <w:proofErr w:type="spellStart"/>
      <w:r w:rsidRPr="00247BA0">
        <w:rPr>
          <w:u w:val="single"/>
        </w:rPr>
        <w:t>Rackow</w:t>
      </w:r>
      <w:proofErr w:type="spellEnd"/>
      <w:r w:rsidRPr="00247BA0">
        <w:rPr>
          <w:u w:val="single"/>
        </w:rPr>
        <w:t xml:space="preserve"> 2002.</w:t>
      </w:r>
      <w:r>
        <w:t xml:space="preserve"> (J.D. candidate, Univ. of Pennsylvania Law School) </w:t>
      </w:r>
      <w:r w:rsidRPr="00247BA0">
        <w:t>HOW THEUSA PATRIOT ACT WILL PERMIT GOVERNMENTALINFRINGEMENT UPON THE PRIVACY OF AMERICANSIN THE NAME OF "INTELLIGENCE" INVESTIGATIONS</w:t>
      </w:r>
      <w:r w:rsidR="00A855E2">
        <w:t xml:space="preserve"> </w:t>
      </w:r>
      <w:hyperlink r:id="rId20" w:history="1">
        <w:r w:rsidRPr="00A066F3">
          <w:rPr>
            <w:rStyle w:val="Hyperlink"/>
          </w:rPr>
          <w:t>http://scholarship.law.upenn.edu/cgi/viewcontent.cgi?article=3279&amp;context=penn_law_review</w:t>
        </w:r>
      </w:hyperlink>
    </w:p>
    <w:p w14:paraId="08C840F9" w14:textId="77777777" w:rsidR="00DC1C78" w:rsidRPr="00DC1C78" w:rsidRDefault="00DC1C78" w:rsidP="00DC1C78">
      <w:pPr>
        <w:pStyle w:val="Evidence"/>
        <w:rPr>
          <w:u w:val="single"/>
        </w:rPr>
      </w:pPr>
      <w:r w:rsidRPr="00DC1C78">
        <w:rPr>
          <w:rFonts w:eastAsia="MS Mincho"/>
          <w:bCs w:val="0"/>
          <w:color w:val="auto"/>
          <w:szCs w:val="22"/>
          <w:lang w:eastAsia="en-US"/>
        </w:rPr>
        <w:t>Although</w:t>
      </w:r>
      <w:r>
        <w:rPr>
          <w:rFonts w:eastAsia="MS Mincho"/>
          <w:bCs w:val="0"/>
          <w:color w:val="auto"/>
          <w:szCs w:val="22"/>
          <w:lang w:eastAsia="en-US"/>
        </w:rPr>
        <w:t xml:space="preserve"> extending roving wiretap authority to FISA surveillance is clearly a necessary legislative action considering the technological advances in communications and the need for surveillance to match such developments, </w:t>
      </w:r>
      <w:r>
        <w:rPr>
          <w:rFonts w:eastAsia="MS Mincho"/>
          <w:bCs w:val="0"/>
          <w:color w:val="auto"/>
          <w:szCs w:val="22"/>
          <w:u w:val="single"/>
          <w:lang w:eastAsia="en-US"/>
        </w:rPr>
        <w:t>the USA PATRIOT Act’s amendment to FISA is problematic in that it is not sufficiently tailored to protect the privacy interests of third parties whose conversations undoubtedly will be intercepted</w:t>
      </w:r>
      <w:r>
        <w:rPr>
          <w:rFonts w:eastAsia="MS Mincho"/>
          <w:bCs w:val="0"/>
          <w:color w:val="auto"/>
          <w:szCs w:val="22"/>
          <w:lang w:eastAsia="en-US"/>
        </w:rPr>
        <w:t xml:space="preserve"> as a consequence of such poorly defined wiretap authority under section 206. </w:t>
      </w:r>
      <w:r>
        <w:rPr>
          <w:rFonts w:eastAsia="MS Mincho"/>
          <w:bCs w:val="0"/>
          <w:color w:val="auto"/>
          <w:szCs w:val="22"/>
          <w:u w:val="single"/>
          <w:lang w:eastAsia="en-US"/>
        </w:rPr>
        <w:t xml:space="preserve">Without the protection afforded by the “reasonably proximate” provision of Title III, or a similar provision such as that proposed by Senator Feingold, section 206 will allow FISA surveillance of a particular telephone line to extend for potentially unlimited and unreasonable periods of time. The result of these extended wiretaps will be the interception of </w:t>
      </w:r>
      <w:proofErr w:type="spellStart"/>
      <w:r>
        <w:rPr>
          <w:rFonts w:eastAsia="MS Mincho"/>
          <w:bCs w:val="0"/>
          <w:color w:val="auto"/>
          <w:szCs w:val="22"/>
          <w:u w:val="single"/>
          <w:lang w:eastAsia="en-US"/>
        </w:rPr>
        <w:t>nontargets</w:t>
      </w:r>
      <w:proofErr w:type="spellEnd"/>
      <w:r>
        <w:rPr>
          <w:rFonts w:eastAsia="MS Mincho"/>
          <w:bCs w:val="0"/>
          <w:color w:val="auto"/>
          <w:szCs w:val="22"/>
          <w:u w:val="single"/>
          <w:lang w:eastAsia="en-US"/>
        </w:rPr>
        <w:t>’ conversations, thereby unduly violating these individuals’ Fourth Amendment rights against unreasonable searches and seizures.</w:t>
      </w:r>
    </w:p>
    <w:p w14:paraId="7B5ACB4C" w14:textId="77777777" w:rsidR="002321A0" w:rsidRDefault="002321A0" w:rsidP="00DC1C78">
      <w:pPr>
        <w:pStyle w:val="Title2"/>
        <w:sectPr w:rsidR="002321A0" w:rsidSect="002321A0">
          <w:pgSz w:w="12240" w:h="15840"/>
          <w:pgMar w:top="1440" w:right="1440" w:bottom="1440" w:left="1440" w:header="720" w:footer="720" w:gutter="0"/>
          <w:cols w:space="720"/>
        </w:sectPr>
      </w:pPr>
    </w:p>
    <w:p w14:paraId="634290C6" w14:textId="3242A7EA" w:rsidR="00DC1C78" w:rsidRPr="00230F38" w:rsidRDefault="00DC1C78" w:rsidP="00DC1C78">
      <w:pPr>
        <w:pStyle w:val="Title2"/>
      </w:pPr>
      <w:bookmarkStart w:id="14" w:name="_Toc266419019"/>
      <w:r w:rsidRPr="00230F38">
        <w:lastRenderedPageBreak/>
        <w:t xml:space="preserve">2A </w:t>
      </w:r>
      <w:r>
        <w:t>Evidence</w:t>
      </w:r>
      <w:r w:rsidRPr="00230F38">
        <w:t xml:space="preserve">: </w:t>
      </w:r>
      <w:r>
        <w:t>Roving Wiretap</w:t>
      </w:r>
      <w:r w:rsidR="00FA5EC0">
        <w:t xml:space="preserve"> Reforms</w:t>
      </w:r>
      <w:bookmarkEnd w:id="14"/>
    </w:p>
    <w:p w14:paraId="0BB8E236" w14:textId="77777777" w:rsidR="00DC1C78" w:rsidRDefault="00DC1C78" w:rsidP="00DC1C78">
      <w:pPr>
        <w:pStyle w:val="Contention1"/>
      </w:pPr>
      <w:bookmarkStart w:id="15" w:name="_Toc266419020"/>
      <w:r>
        <w:t>TOPICALITY / DEFINITIONS</w:t>
      </w:r>
      <w:bookmarkEnd w:id="15"/>
    </w:p>
    <w:p w14:paraId="4ECAE2C5" w14:textId="77777777" w:rsidR="00DC1C78" w:rsidRDefault="00DC1C78" w:rsidP="00DC1C78">
      <w:pPr>
        <w:pStyle w:val="Contention2"/>
      </w:pPr>
      <w:bookmarkStart w:id="16" w:name="_Toc266419021"/>
      <w:r>
        <w:t xml:space="preserve">How roving wiretaps </w:t>
      </w:r>
      <w:proofErr w:type="gramStart"/>
      <w:r>
        <w:t>work</w:t>
      </w:r>
      <w:bookmarkEnd w:id="16"/>
      <w:proofErr w:type="gramEnd"/>
    </w:p>
    <w:p w14:paraId="586A7F66" w14:textId="77777777" w:rsidR="00DC1C78" w:rsidRPr="009D368A" w:rsidRDefault="00DC1C78" w:rsidP="00DC1C78">
      <w:pPr>
        <w:pStyle w:val="Citation3"/>
        <w:rPr>
          <w:szCs w:val="59"/>
        </w:rPr>
      </w:pPr>
      <w:proofErr w:type="gramStart"/>
      <w:r w:rsidRPr="005C1C38">
        <w:rPr>
          <w:u w:val="single"/>
        </w:rPr>
        <w:t>Julian Sanchez 2011</w:t>
      </w:r>
      <w:r>
        <w:t>.</w:t>
      </w:r>
      <w:proofErr w:type="gramEnd"/>
      <w:r>
        <w:t xml:space="preserve"> (Senior Fellow, Cato Institute; former Washington Editor for the technology news site </w:t>
      </w:r>
      <w:proofErr w:type="spellStart"/>
      <w:r>
        <w:t>ArsTechnica</w:t>
      </w:r>
      <w:proofErr w:type="spellEnd"/>
      <w:r>
        <w:t>, where he covered surveillance, intellectu</w:t>
      </w:r>
      <w:r w:rsidR="00A855E2">
        <w:t>al property, and telecom policy</w:t>
      </w:r>
      <w:r>
        <w:t>)</w:t>
      </w:r>
      <w:r w:rsidR="00A855E2">
        <w:t xml:space="preserve"> </w:t>
      </w:r>
      <w:r w:rsidRPr="009D368A">
        <w:rPr>
          <w:szCs w:val="59"/>
        </w:rPr>
        <w:t xml:space="preserve">Leashing the Surveillance State - </w:t>
      </w:r>
      <w:r w:rsidRPr="009D368A">
        <w:rPr>
          <w:szCs w:val="50"/>
        </w:rPr>
        <w:t>How to Reform Patriot Act Surveillance Authoritie</w:t>
      </w:r>
      <w:r>
        <w:rPr>
          <w:szCs w:val="50"/>
        </w:rPr>
        <w:t>s, 16 May 2011</w:t>
      </w:r>
      <w:r w:rsidR="00A855E2">
        <w:rPr>
          <w:szCs w:val="50"/>
        </w:rPr>
        <w:t xml:space="preserve"> </w:t>
      </w:r>
      <w:hyperlink r:id="rId21" w:history="1">
        <w:r w:rsidR="00A371CF" w:rsidRPr="00A066F3">
          <w:rPr>
            <w:rStyle w:val="Hyperlink"/>
            <w:szCs w:val="50"/>
          </w:rPr>
          <w:t>http://www.cato.org/sites/cato.org/files/pubs/pdf/PA675.pdf</w:t>
        </w:r>
      </w:hyperlink>
    </w:p>
    <w:p w14:paraId="08A6521C" w14:textId="77777777" w:rsidR="00DC1C78" w:rsidRDefault="00DC1C78" w:rsidP="00DC1C78">
      <w:pPr>
        <w:pStyle w:val="Evidence"/>
      </w:pPr>
      <w:r>
        <w:t>Th</w:t>
      </w:r>
      <w:r w:rsidRPr="001C6406">
        <w:t xml:space="preserve">e idea behind a roving wiretap should be familiar to fans </w:t>
      </w:r>
      <w:r w:rsidR="00A855E2" w:rsidRPr="001C6406">
        <w:t xml:space="preserve">of </w:t>
      </w:r>
      <w:r w:rsidR="00A855E2">
        <w:t>the</w:t>
      </w:r>
      <w:r w:rsidRPr="001C6406">
        <w:t xml:space="preserve"> acclaimed HBO series The Wire, in which drug dealers rapidly cycled through disposable “burner” cell phones to evade police eavesdropping. A roving wiretap is used when a target is thought to be employing such measures to frustrate investigators, and allows the eavesdropper to quickly begin listening on whatever new phone line or Internet account her quarry may be using, without having to go back to a judge for a new warrant every time. </w:t>
      </w:r>
    </w:p>
    <w:p w14:paraId="6FA8BEC8" w14:textId="77777777" w:rsidR="00DC1C78" w:rsidRDefault="00DC1C78" w:rsidP="00DC1C78">
      <w:pPr>
        <w:pStyle w:val="Contention1"/>
      </w:pPr>
      <w:bookmarkStart w:id="17" w:name="_Toc266419022"/>
      <w:r>
        <w:t>INHERENCY</w:t>
      </w:r>
      <w:bookmarkEnd w:id="17"/>
    </w:p>
    <w:p w14:paraId="37ABEADB" w14:textId="77777777" w:rsidR="00DC1C78" w:rsidRDefault="00DC1C78" w:rsidP="00DC1C78">
      <w:pPr>
        <w:pStyle w:val="Contention2"/>
      </w:pPr>
      <w:bookmarkStart w:id="18" w:name="_Toc266419023"/>
      <w:r>
        <w:t>History and origins of “Title III” and why it doesn’t apply to foreign intelligence surveillance</w:t>
      </w:r>
      <w:bookmarkEnd w:id="18"/>
    </w:p>
    <w:p w14:paraId="595D921F" w14:textId="77777777" w:rsidR="00DC1C78" w:rsidRDefault="00DC1C78" w:rsidP="00DC1C78">
      <w:pPr>
        <w:pStyle w:val="Contention2"/>
      </w:pPr>
      <w:bookmarkStart w:id="19" w:name="_Toc266419024"/>
      <w:r>
        <w:t>It referred originally to Title III of the Omnibus Crime Control and Safe Streets Act of 1968 (though later updated by the Electronic Communications Privacy Act of 1986)</w:t>
      </w:r>
      <w:bookmarkEnd w:id="19"/>
    </w:p>
    <w:p w14:paraId="75BBA2CC" w14:textId="77777777" w:rsidR="00DC1C78" w:rsidRPr="0048059D" w:rsidRDefault="00DC1C78" w:rsidP="00DC1C78">
      <w:pPr>
        <w:pStyle w:val="Citation3"/>
      </w:pPr>
      <w:r w:rsidRPr="0048059D">
        <w:rPr>
          <w:u w:val="single"/>
        </w:rPr>
        <w:t>Charles Doyle 2012</w:t>
      </w:r>
      <w:r w:rsidRPr="0048059D">
        <w:t xml:space="preserve">. (Senior Specialist in American Public Law with Congressional Research Service) 9 Oct </w:t>
      </w:r>
      <w:r w:rsidR="00A855E2" w:rsidRPr="0048059D">
        <w:t>2012 Privacy</w:t>
      </w:r>
      <w:r w:rsidRPr="0048059D">
        <w:rPr>
          <w:szCs w:val="54"/>
        </w:rPr>
        <w:t xml:space="preserve">: An Overview of the Electronic Communications Privacy Act </w:t>
      </w:r>
      <w:hyperlink r:id="rId22" w:history="1">
        <w:r w:rsidR="00A371CF" w:rsidRPr="00A066F3">
          <w:rPr>
            <w:rStyle w:val="Hyperlink"/>
          </w:rPr>
          <w:t>https://www.fas.org/sgp/crs/misc/R41733.pdf</w:t>
        </w:r>
      </w:hyperlink>
    </w:p>
    <w:p w14:paraId="3A616FC2" w14:textId="77777777" w:rsidR="00DC1C78" w:rsidRDefault="00DC1C78" w:rsidP="00DC1C78">
      <w:pPr>
        <w:pStyle w:val="Evidence"/>
      </w:pPr>
      <w:r w:rsidRPr="0048059D">
        <w:t xml:space="preserve">The Court rejected the constitutional adequacy of one of the more detailed of these state statutory schemes in Berger v. New </w:t>
      </w:r>
      <w:r w:rsidR="00A855E2" w:rsidRPr="0048059D">
        <w:t>York. The</w:t>
      </w:r>
      <w:r w:rsidRPr="0048059D">
        <w:t xml:space="preserve"> statute was found deficient because of its failure to require: </w:t>
      </w:r>
      <w:r>
        <w:br/>
      </w:r>
      <w:r w:rsidRPr="0048059D">
        <w:rPr>
          <w:rFonts w:ascii="Courier New" w:hAnsi="Courier New" w:cs="Courier New"/>
        </w:rPr>
        <w:t>•</w:t>
      </w:r>
      <w:r w:rsidRPr="0048059D">
        <w:t xml:space="preserve">a particularized description of the place to be searched; </w:t>
      </w:r>
      <w:r>
        <w:br/>
      </w:r>
      <w:r w:rsidRPr="0048059D">
        <w:rPr>
          <w:rFonts w:ascii="Courier New" w:hAnsi="Courier New" w:cs="Courier New"/>
        </w:rPr>
        <w:t>•</w:t>
      </w:r>
      <w:r w:rsidRPr="0048059D">
        <w:t xml:space="preserve">a particularized description of the crime to which the search and seizure </w:t>
      </w:r>
      <w:r>
        <w:t>r</w:t>
      </w:r>
      <w:r w:rsidRPr="0048059D">
        <w:t xml:space="preserve">elated; </w:t>
      </w:r>
      <w:r>
        <w:br/>
      </w:r>
      <w:r w:rsidRPr="0048059D">
        <w:rPr>
          <w:rFonts w:ascii="Courier New" w:hAnsi="Courier New" w:cs="Courier New"/>
        </w:rPr>
        <w:t>•</w:t>
      </w:r>
      <w:r w:rsidRPr="0048059D">
        <w:t xml:space="preserve">a particularized description of the conversation to be seized; </w:t>
      </w:r>
      <w:r>
        <w:br/>
      </w:r>
      <w:r w:rsidRPr="0048059D">
        <w:rPr>
          <w:rFonts w:ascii="Courier New" w:hAnsi="Courier New" w:cs="Courier New"/>
        </w:rPr>
        <w:t>•</w:t>
      </w:r>
      <w:r w:rsidRPr="0048059D">
        <w:t xml:space="preserve">limitations to prevent general searches; </w:t>
      </w:r>
      <w:r>
        <w:br/>
      </w:r>
      <w:r w:rsidRPr="0048059D">
        <w:rPr>
          <w:rFonts w:ascii="Courier New" w:hAnsi="Courier New" w:cs="Courier New"/>
        </w:rPr>
        <w:t>•</w:t>
      </w:r>
      <w:r w:rsidRPr="0048059D">
        <w:t xml:space="preserve">termination of the interception when the conversation sought had been seized; </w:t>
      </w:r>
      <w:r>
        <w:br/>
      </w:r>
      <w:r w:rsidRPr="0048059D">
        <w:rPr>
          <w:rFonts w:ascii="Courier New" w:hAnsi="Courier New" w:cs="Courier New"/>
        </w:rPr>
        <w:t>•</w:t>
      </w:r>
      <w:r w:rsidRPr="0048059D">
        <w:t xml:space="preserve">prompt execution of the order; </w:t>
      </w:r>
      <w:r>
        <w:br/>
      </w:r>
      <w:r w:rsidRPr="0048059D">
        <w:rPr>
          <w:rFonts w:ascii="Courier New" w:hAnsi="Courier New" w:cs="Courier New"/>
        </w:rPr>
        <w:t>•</w:t>
      </w:r>
      <w:r w:rsidRPr="0048059D">
        <w:t xml:space="preserve">return to the issuing court detailing the items seized; and </w:t>
      </w:r>
      <w:r>
        <w:br/>
      </w:r>
      <w:r w:rsidRPr="0048059D">
        <w:rPr>
          <w:rFonts w:ascii="Courier New" w:hAnsi="Courier New" w:cs="Courier New"/>
        </w:rPr>
        <w:t>•</w:t>
      </w:r>
      <w:r w:rsidRPr="0048059D">
        <w:t>any showing of exigent circumstances to overcome the want of prior notice.</w:t>
      </w:r>
      <w:r>
        <w:br/>
      </w:r>
      <w:r w:rsidR="00A855E2" w:rsidRPr="0048059D">
        <w:t>Berger helped</w:t>
      </w:r>
      <w:r w:rsidRPr="0048059D">
        <w:t xml:space="preserve"> persuade Congress to enact Title III of the Omnibus Crime Control and Safe Streets Act of 1968, a comprehensive wiretapping and electronic eavesdropping statute that not only outlawed both activities in general terms but that also permitted federal and state law enforcement officers to use them under strict limitations designed to meet the objections in Berger. A decade later another Supreme Court case persuaded Congress to supplement Title III with a judicially supervised procedure for the use of wiretapping and electronic eavesdropping in foreign intelligence gathering situations. When Congress passed Title III there was some question over the extent of the President’s inherent powers </w:t>
      </w:r>
      <w:r w:rsidR="00A855E2" w:rsidRPr="0048059D">
        <w:t>to authorize</w:t>
      </w:r>
      <w:r w:rsidRPr="0048059D">
        <w:t xml:space="preserve"> wiretaps—without judicial approval—in national security cases. As a consequence, the issue was simply removed from the Title III scheme.</w:t>
      </w:r>
    </w:p>
    <w:p w14:paraId="470944DC" w14:textId="77777777" w:rsidR="00DC1C78" w:rsidRDefault="00DC1C78" w:rsidP="00DC1C78">
      <w:pPr>
        <w:pStyle w:val="Contention2"/>
      </w:pPr>
      <w:bookmarkStart w:id="20" w:name="_Toc266419025"/>
      <w:r>
        <w:lastRenderedPageBreak/>
        <w:t>FISA/Patriot Act roving wiretaps lack the safeguards of regular criminal investigation wiretaps</w:t>
      </w:r>
      <w:bookmarkEnd w:id="20"/>
    </w:p>
    <w:p w14:paraId="49A38E87" w14:textId="77777777" w:rsidR="00DC1C78" w:rsidRPr="009D368A" w:rsidRDefault="00DC1C78" w:rsidP="00DC1C78">
      <w:pPr>
        <w:pStyle w:val="Citation3"/>
        <w:rPr>
          <w:szCs w:val="59"/>
        </w:rPr>
      </w:pPr>
      <w:proofErr w:type="gramStart"/>
      <w:r w:rsidRPr="005C1C38">
        <w:rPr>
          <w:u w:val="single"/>
        </w:rPr>
        <w:t>Julian Sanchez 2011</w:t>
      </w:r>
      <w:r>
        <w:t>.</w:t>
      </w:r>
      <w:proofErr w:type="gramEnd"/>
      <w:r>
        <w:t xml:space="preserve"> (Senior Fellow, Cato Institute; former Washington Editor for the technology news site </w:t>
      </w:r>
      <w:proofErr w:type="spellStart"/>
      <w:r>
        <w:t>ArsTechnica</w:t>
      </w:r>
      <w:proofErr w:type="spellEnd"/>
      <w:r>
        <w:t>, where he covered surveillance, intellectual property, and telecom policy)</w:t>
      </w:r>
      <w:r w:rsidR="00A855E2">
        <w:t xml:space="preserve"> </w:t>
      </w:r>
      <w:r w:rsidRPr="009D368A">
        <w:rPr>
          <w:szCs w:val="59"/>
        </w:rPr>
        <w:t xml:space="preserve">Leashing the Surveillance State - </w:t>
      </w:r>
      <w:r w:rsidRPr="009D368A">
        <w:rPr>
          <w:szCs w:val="50"/>
        </w:rPr>
        <w:t>How to Reform Patriot Act Surveillance Authoritie</w:t>
      </w:r>
      <w:r>
        <w:rPr>
          <w:szCs w:val="50"/>
        </w:rPr>
        <w:t>s, 16 May 2011</w:t>
      </w:r>
      <w:r w:rsidR="00A855E2">
        <w:rPr>
          <w:szCs w:val="50"/>
        </w:rPr>
        <w:t xml:space="preserve"> </w:t>
      </w:r>
      <w:hyperlink r:id="rId23" w:history="1">
        <w:r w:rsidR="00A371CF" w:rsidRPr="00A066F3">
          <w:rPr>
            <w:rStyle w:val="Hyperlink"/>
            <w:szCs w:val="50"/>
          </w:rPr>
          <w:t>http://www.cato.org/sites/cato.org/files/pubs/pdf/PA675.pdf</w:t>
        </w:r>
      </w:hyperlink>
    </w:p>
    <w:p w14:paraId="229FAC62" w14:textId="77777777" w:rsidR="00DC1C78" w:rsidRDefault="00DC1C78" w:rsidP="00DC1C78">
      <w:pPr>
        <w:pStyle w:val="Evidence"/>
      </w:pPr>
      <w:r w:rsidRPr="005711EE">
        <w:t>Similarly</w:t>
      </w:r>
      <w:r w:rsidRPr="00412571">
        <w:rPr>
          <w:u w:val="single"/>
        </w:rPr>
        <w:t>, in United States v. Petti, the Ninth Circuit wrote:</w:t>
      </w:r>
      <w:r w:rsidRPr="00412571">
        <w:rPr>
          <w:u w:val="single"/>
        </w:rPr>
        <w:br/>
        <w:t>The statute does not permit a “wide-ranging exploratory search,” and there is virtually no possibility of abuse or mistake. Only telephone facilities actually used by an identified speaker may be subjected to surveillance</w:t>
      </w:r>
      <w:r w:rsidRPr="005711EE">
        <w:t xml:space="preserve">, and the government must use standard minimization procedures to ensure that only conversations relating to a crime in which the speaker is a suspected participant are </w:t>
      </w:r>
      <w:r w:rsidR="00A855E2" w:rsidRPr="005711EE">
        <w:t>intercepted.</w:t>
      </w:r>
      <w:r w:rsidR="00A855E2" w:rsidRPr="00412571">
        <w:rPr>
          <w:u w:val="single"/>
        </w:rPr>
        <w:t xml:space="preserve"> The</w:t>
      </w:r>
      <w:r w:rsidRPr="00412571">
        <w:rPr>
          <w:u w:val="single"/>
        </w:rPr>
        <w:t xml:space="preserve"> Patriot Act’s roving wiretap provision, however, includes no parallel requirement that an individual target be named in a FISA warrant application, giving rise to concerns about what have been dubbed “John Doe” warrants that specify neither a particular interception facility nor a particular named target</w:t>
      </w:r>
      <w:r w:rsidRPr="005711EE">
        <w:t xml:space="preserve">. </w:t>
      </w:r>
    </w:p>
    <w:p w14:paraId="62A4EF2F" w14:textId="77777777" w:rsidR="00DC1C78" w:rsidRDefault="00DC1C78" w:rsidP="00DC1C78">
      <w:pPr>
        <w:pStyle w:val="Contention2"/>
      </w:pPr>
      <w:bookmarkStart w:id="21" w:name="_Toc266419026"/>
      <w:r>
        <w:t>Substantial differences between FISA wiretaps and ordinary criminal wiretaps</w:t>
      </w:r>
      <w:bookmarkEnd w:id="21"/>
    </w:p>
    <w:p w14:paraId="6C78D821" w14:textId="77777777" w:rsidR="00DC1C78" w:rsidRPr="009D368A" w:rsidRDefault="00DC1C78" w:rsidP="00DC1C78">
      <w:pPr>
        <w:pStyle w:val="Citation3"/>
        <w:rPr>
          <w:szCs w:val="59"/>
        </w:rPr>
      </w:pPr>
      <w:proofErr w:type="gramStart"/>
      <w:r w:rsidRPr="005C1C38">
        <w:rPr>
          <w:u w:val="single"/>
        </w:rPr>
        <w:t>Julian Sanchez 2011</w:t>
      </w:r>
      <w:r>
        <w:t>.</w:t>
      </w:r>
      <w:proofErr w:type="gramEnd"/>
      <w:r>
        <w:t xml:space="preserve"> (Senior Fellow, Cato Institute; former Washington Editor for the technology news site </w:t>
      </w:r>
      <w:proofErr w:type="spellStart"/>
      <w:r>
        <w:t>ArsTechnica</w:t>
      </w:r>
      <w:proofErr w:type="spellEnd"/>
      <w:r>
        <w:t xml:space="preserve">, where he covered surveillance, intellectual property, and telecom </w:t>
      </w:r>
      <w:r w:rsidR="00A855E2">
        <w:t xml:space="preserve">policy) </w:t>
      </w:r>
      <w:r w:rsidRPr="009D368A">
        <w:rPr>
          <w:szCs w:val="59"/>
        </w:rPr>
        <w:t xml:space="preserve">Leashing the Surveillance State - </w:t>
      </w:r>
      <w:r w:rsidRPr="009D368A">
        <w:rPr>
          <w:szCs w:val="50"/>
        </w:rPr>
        <w:t>How to Reform Patriot Act Surveillance Authoritie</w:t>
      </w:r>
      <w:r>
        <w:rPr>
          <w:szCs w:val="50"/>
        </w:rPr>
        <w:t>s, 16 May 2011</w:t>
      </w:r>
      <w:r w:rsidR="00A855E2">
        <w:rPr>
          <w:szCs w:val="50"/>
        </w:rPr>
        <w:t xml:space="preserve"> </w:t>
      </w:r>
      <w:hyperlink r:id="rId24" w:history="1">
        <w:r w:rsidR="00A371CF" w:rsidRPr="00A066F3">
          <w:rPr>
            <w:rStyle w:val="Hyperlink"/>
            <w:szCs w:val="50"/>
          </w:rPr>
          <w:t>http://www.cato.org/sites/cato.org/files/pubs/pdf/PA675.pdf</w:t>
        </w:r>
      </w:hyperlink>
    </w:p>
    <w:p w14:paraId="73086611" w14:textId="77777777" w:rsidR="00DC1C78" w:rsidRDefault="00DC1C78" w:rsidP="00DC1C78">
      <w:pPr>
        <w:pStyle w:val="Evidence"/>
      </w:pPr>
      <w:r w:rsidRPr="009716D5">
        <w:t xml:space="preserve">FISA surveillance, by contrast, is covert by default, and often seeks intelligence for purposes other than criminal </w:t>
      </w:r>
      <w:r w:rsidR="00A855E2" w:rsidRPr="009716D5">
        <w:t>prosecution. Even</w:t>
      </w:r>
      <w:r w:rsidRPr="009716D5">
        <w:t xml:space="preserve"> when the fruits of FISA collection are used at trial, discovery is far more </w:t>
      </w:r>
      <w:r w:rsidR="00A855E2" w:rsidRPr="009716D5">
        <w:t>limited. Defenders</w:t>
      </w:r>
      <w:r w:rsidRPr="009716D5">
        <w:t xml:space="preserve"> of this and other Patriot Act provisions often assert that they only provide intelligence agencies the same tools avail</w:t>
      </w:r>
      <w:r>
        <w:t>a</w:t>
      </w:r>
      <w:r w:rsidRPr="009716D5">
        <w:t xml:space="preserve">ble in criminal investigations, but almost invariably neglect the profound structural differences between criminal and intelligence law. </w:t>
      </w:r>
    </w:p>
    <w:p w14:paraId="24409296" w14:textId="77777777" w:rsidR="00DC1C78" w:rsidRDefault="00DC1C78" w:rsidP="00DC1C78">
      <w:pPr>
        <w:pStyle w:val="Contention2"/>
      </w:pPr>
      <w:bookmarkStart w:id="22" w:name="_Toc266419027"/>
      <w:r>
        <w:t>Title III roving wiretap has safeguards</w:t>
      </w:r>
      <w:bookmarkEnd w:id="22"/>
    </w:p>
    <w:p w14:paraId="5C445A6F" w14:textId="77777777" w:rsidR="00DC1C78" w:rsidRDefault="00DC1C78" w:rsidP="00DC1C78">
      <w:pPr>
        <w:pStyle w:val="Citation3"/>
      </w:pPr>
      <w:r w:rsidRPr="00247BA0">
        <w:rPr>
          <w:u w:val="single"/>
        </w:rPr>
        <w:t xml:space="preserve">Sharon </w:t>
      </w:r>
      <w:proofErr w:type="spellStart"/>
      <w:r w:rsidRPr="00247BA0">
        <w:rPr>
          <w:u w:val="single"/>
        </w:rPr>
        <w:t>Rackow</w:t>
      </w:r>
      <w:proofErr w:type="spellEnd"/>
      <w:r w:rsidRPr="00247BA0">
        <w:rPr>
          <w:u w:val="single"/>
        </w:rPr>
        <w:t xml:space="preserve"> 2002.</w:t>
      </w:r>
      <w:r>
        <w:t xml:space="preserve"> (J.D. candidate, Univ. of Pennsylvania Law School) </w:t>
      </w:r>
      <w:r w:rsidRPr="00247BA0">
        <w:t>HOW THEUSA PATRIOT ACT WILL PERMIT GOVERNMENTALINFRINGEMENT UPON THE PRIVACY OF AMERICANSIN THE NAME OF "INTELLIGENCE" INVESTIGATIONS</w:t>
      </w:r>
      <w:r w:rsidR="00A855E2">
        <w:t xml:space="preserve"> </w:t>
      </w:r>
      <w:hyperlink r:id="rId25" w:history="1">
        <w:r w:rsidRPr="00A066F3">
          <w:rPr>
            <w:rStyle w:val="Hyperlink"/>
          </w:rPr>
          <w:t>http://scholarship.law.upenn.edu/cgi/viewcontent.cgi?article=3279&amp;context=penn_law_review</w:t>
        </w:r>
      </w:hyperlink>
    </w:p>
    <w:p w14:paraId="454E3B47" w14:textId="2D744B8A" w:rsidR="00DC1C78" w:rsidRPr="00DC1C78" w:rsidRDefault="00DC1C78" w:rsidP="001A17AE">
      <w:pPr>
        <w:pStyle w:val="Evidence"/>
      </w:pPr>
      <w:r>
        <w:rPr>
          <w:rFonts w:eastAsia="MS Mincho"/>
          <w:bCs w:val="0"/>
          <w:color w:val="auto"/>
          <w:szCs w:val="22"/>
          <w:lang w:eastAsia="en-US"/>
        </w:rPr>
        <w:t xml:space="preserve">In practice, </w:t>
      </w:r>
      <w:r>
        <w:rPr>
          <w:rFonts w:eastAsia="MS Mincho"/>
          <w:bCs w:val="0"/>
          <w:color w:val="auto"/>
          <w:szCs w:val="22"/>
          <w:u w:val="single"/>
          <w:lang w:eastAsia="en-US"/>
        </w:rPr>
        <w:t>a Title III roving wiretap allows law enforcement agents to tap any telephone that the target has used or very likely will use, but only intercept those conversations when the agents reasonably believe the target is using a particular phone.</w:t>
      </w:r>
      <w:r>
        <w:rPr>
          <w:rFonts w:eastAsia="MS Mincho"/>
          <w:bCs w:val="0"/>
          <w:color w:val="auto"/>
          <w:szCs w:val="22"/>
          <w:lang w:eastAsia="en-US"/>
        </w:rPr>
        <w:t xml:space="preserve"> Therefore, if the target of a roving wiretap uses a telephone in a coffee shop, another person’s home, or an office, agents can tap that telephone for the duration of time that the warrant specifies, up to the thirty-day limit, subject to the “reasonably proximate” restraint.</w:t>
      </w:r>
    </w:p>
    <w:p w14:paraId="6544DC4C" w14:textId="77777777" w:rsidR="00DC1C78" w:rsidRDefault="00DC1C78" w:rsidP="00DC1C78">
      <w:pPr>
        <w:pStyle w:val="Contention2"/>
      </w:pPr>
      <w:bookmarkStart w:id="23" w:name="_Toc266419028"/>
      <w:r>
        <w:t>“</w:t>
      </w:r>
      <w:proofErr w:type="spellStart"/>
      <w:r>
        <w:t>Dept</w:t>
      </w:r>
      <w:proofErr w:type="spellEnd"/>
      <w:r>
        <w:t xml:space="preserve"> of Justice policy is that they name the suspect” – Response:  Policies change and they’re not binding legal standards</w:t>
      </w:r>
      <w:bookmarkEnd w:id="23"/>
    </w:p>
    <w:p w14:paraId="1DC430B8" w14:textId="77777777" w:rsidR="00DC1C78" w:rsidRPr="008806A8" w:rsidRDefault="00DC1C78" w:rsidP="00DC1C78">
      <w:pPr>
        <w:pStyle w:val="Citation3"/>
      </w:pPr>
      <w:r w:rsidRPr="008806A8">
        <w:rPr>
          <w:u w:val="single"/>
        </w:rPr>
        <w:t xml:space="preserve">Stephanie K. Pell and Christopher </w:t>
      </w:r>
      <w:proofErr w:type="spellStart"/>
      <w:r w:rsidRPr="008806A8">
        <w:rPr>
          <w:u w:val="single"/>
        </w:rPr>
        <w:t>Soghoian</w:t>
      </w:r>
      <w:proofErr w:type="spellEnd"/>
      <w:r w:rsidRPr="008806A8">
        <w:rPr>
          <w:u w:val="single"/>
        </w:rPr>
        <w:t xml:space="preserve"> 2012</w:t>
      </w:r>
      <w:proofErr w:type="gramStart"/>
      <w:r>
        <w:t>.</w:t>
      </w:r>
      <w:r w:rsidRPr="008806A8">
        <w:t>(</w:t>
      </w:r>
      <w:proofErr w:type="gramEnd"/>
      <w:r w:rsidRPr="008806A8">
        <w:t xml:space="preserve">Pell - Principal, SKP Strategies, LLC; former Counsel to the House Judiciary </w:t>
      </w:r>
      <w:r w:rsidR="00A855E2" w:rsidRPr="008806A8">
        <w:t>Committee; former</w:t>
      </w:r>
      <w:r w:rsidRPr="008806A8">
        <w:t xml:space="preserve"> Senior Counsel to the Deputy Attorney General, U.S. Department of Justice; </w:t>
      </w:r>
      <w:r w:rsidR="00A855E2" w:rsidRPr="008806A8">
        <w:t>former Counsel</w:t>
      </w:r>
      <w:r w:rsidRPr="008806A8">
        <w:t xml:space="preserve"> to the Assistant Attorney General, National Security Division, U.S. Department </w:t>
      </w:r>
      <w:r w:rsidR="00A855E2" w:rsidRPr="008806A8">
        <w:t>of Justice</w:t>
      </w:r>
      <w:r w:rsidRPr="008806A8">
        <w:t xml:space="preserve">; and former Assistant U.S. Attorney, Southern District of Florida. </w:t>
      </w:r>
      <w:proofErr w:type="spellStart"/>
      <w:r w:rsidRPr="008806A8">
        <w:t>Soghoian</w:t>
      </w:r>
      <w:proofErr w:type="spellEnd"/>
      <w:r w:rsidRPr="008806A8">
        <w:t xml:space="preserve"> - Graduate Fellow, Center for Applied </w:t>
      </w:r>
      <w:proofErr w:type="spellStart"/>
      <w:r w:rsidRPr="008806A8">
        <w:t>Cybersecurity</w:t>
      </w:r>
      <w:proofErr w:type="spellEnd"/>
      <w:r w:rsidRPr="008806A8">
        <w:t xml:space="preserve"> Research; Ph.D. </w:t>
      </w:r>
      <w:r w:rsidR="00A855E2" w:rsidRPr="008806A8">
        <w:t>Candidate, School</w:t>
      </w:r>
      <w:r w:rsidRPr="008806A8">
        <w:t xml:space="preserve"> of Informatics and Computing, Indiana </w:t>
      </w:r>
      <w:r w:rsidR="00A855E2" w:rsidRPr="008806A8">
        <w:t>University)</w:t>
      </w:r>
      <w:r w:rsidRPr="008806A8">
        <w:t xml:space="preserve"> </w:t>
      </w:r>
      <w:r>
        <w:t>21 Apr 2012. “Ca</w:t>
      </w:r>
      <w:r w:rsidRPr="008806A8">
        <w:t>nYouSeeMeNow</w:t>
      </w:r>
      <w:proofErr w:type="gramStart"/>
      <w:r w:rsidRPr="008806A8">
        <w:t>?:</w:t>
      </w:r>
      <w:proofErr w:type="gramEnd"/>
      <w:r w:rsidRPr="008806A8">
        <w:t>TowardReasonableStandardsforLawEnforcementAccesstoLocationDatathatCongressCouldEnact</w:t>
      </w:r>
      <w:r>
        <w:t xml:space="preserve">” </w:t>
      </w:r>
      <w:hyperlink r:id="rId26" w:history="1">
        <w:r w:rsidR="00A371CF" w:rsidRPr="00A066F3">
          <w:rPr>
            <w:rStyle w:val="Hyperlink"/>
          </w:rPr>
          <w:t>http://papers.ssrn.com/sol3/papers.cfm?abstract_id=1845644</w:t>
        </w:r>
      </w:hyperlink>
    </w:p>
    <w:p w14:paraId="0A8DC5E8" w14:textId="77777777" w:rsidR="00DC1C78" w:rsidRPr="008806A8" w:rsidRDefault="00DC1C78" w:rsidP="00DC1C78">
      <w:pPr>
        <w:pStyle w:val="Evidence"/>
        <w:rPr>
          <w:u w:val="single"/>
        </w:rPr>
      </w:pPr>
      <w:r w:rsidRPr="008806A8">
        <w:t>While privacy advocates might view this</w:t>
      </w:r>
      <w:r w:rsidR="00A855E2">
        <w:t xml:space="preserve"> </w:t>
      </w:r>
      <w:r w:rsidRPr="008806A8">
        <w:t xml:space="preserve">as a small concession by the government, it is at best a transient one, since </w:t>
      </w:r>
      <w:r w:rsidRPr="008806A8">
        <w:rPr>
          <w:u w:val="single"/>
        </w:rPr>
        <w:t>a policy decision by the DOJ is by no means a permanent or legally binding decision. To the extent that this policy decision protects privacy, it can be so unstable as to be subject to changes in leadership at various levels, even within a single administration, whose individual decisions implement the enforcement and oversight of a particular policy across various field offices.</w:t>
      </w:r>
    </w:p>
    <w:p w14:paraId="7BEE1E8F" w14:textId="77777777" w:rsidR="00DC1C78" w:rsidRDefault="00DC1C78" w:rsidP="00DC1C78">
      <w:pPr>
        <w:pStyle w:val="Contention2"/>
      </w:pPr>
      <w:bookmarkStart w:id="24" w:name="_Toc266419029"/>
      <w:r>
        <w:lastRenderedPageBreak/>
        <w:t>Innocent bystanders get wiretapped</w:t>
      </w:r>
      <w:r w:rsidR="00160EC9">
        <w:t xml:space="preserve"> due to lack of FISA safeguards</w:t>
      </w:r>
      <w:bookmarkEnd w:id="24"/>
    </w:p>
    <w:p w14:paraId="79174683" w14:textId="77777777" w:rsidR="00DC1C78" w:rsidRPr="009D368A" w:rsidRDefault="00DC1C78" w:rsidP="00DC1C78">
      <w:pPr>
        <w:pStyle w:val="Citation3"/>
        <w:rPr>
          <w:szCs w:val="59"/>
        </w:rPr>
      </w:pPr>
      <w:proofErr w:type="gramStart"/>
      <w:r w:rsidRPr="005C1C38">
        <w:rPr>
          <w:u w:val="single"/>
        </w:rPr>
        <w:t>Julian Sanchez 2011</w:t>
      </w:r>
      <w:r>
        <w:t>.</w:t>
      </w:r>
      <w:proofErr w:type="gramEnd"/>
      <w:r>
        <w:t xml:space="preserve"> (Senior Fellow, Cato Institute; former Washington Editor for the technology news site </w:t>
      </w:r>
      <w:proofErr w:type="spellStart"/>
      <w:r>
        <w:t>ArsTechnica</w:t>
      </w:r>
      <w:proofErr w:type="spellEnd"/>
      <w:r>
        <w:t xml:space="preserve">, where he covered surveillance, intellectual property, and telecom </w:t>
      </w:r>
      <w:r w:rsidR="00A855E2">
        <w:t xml:space="preserve">policy) </w:t>
      </w:r>
      <w:r w:rsidRPr="009D368A">
        <w:rPr>
          <w:szCs w:val="59"/>
        </w:rPr>
        <w:t xml:space="preserve">Leashing the Surveillance State - </w:t>
      </w:r>
      <w:r w:rsidRPr="009D368A">
        <w:rPr>
          <w:szCs w:val="50"/>
        </w:rPr>
        <w:t>How to Reform Patriot Act Surveillance Authoritie</w:t>
      </w:r>
      <w:r>
        <w:rPr>
          <w:szCs w:val="50"/>
        </w:rPr>
        <w:t>s, 16 May 2011</w:t>
      </w:r>
      <w:r w:rsidR="00A855E2">
        <w:rPr>
          <w:szCs w:val="50"/>
        </w:rPr>
        <w:t xml:space="preserve"> </w:t>
      </w:r>
      <w:hyperlink r:id="rId27" w:history="1">
        <w:r w:rsidR="00A371CF" w:rsidRPr="00A066F3">
          <w:rPr>
            <w:rStyle w:val="Hyperlink"/>
            <w:szCs w:val="50"/>
          </w:rPr>
          <w:t>http://www.cato.org/sites/cato.org/files/pubs/pdf/PA675.pdf</w:t>
        </w:r>
      </w:hyperlink>
    </w:p>
    <w:p w14:paraId="0CF90575" w14:textId="77777777" w:rsidR="00DC1C78" w:rsidRPr="00740C88" w:rsidRDefault="00DC1C78" w:rsidP="00DC1C78">
      <w:pPr>
        <w:pStyle w:val="Evidence"/>
      </w:pPr>
      <w:r w:rsidRPr="00740C88">
        <w:rPr>
          <w:u w:val="single"/>
        </w:rPr>
        <w:t xml:space="preserve">The Patriot Act’s roving wiretap provision, however, includes no parallel </w:t>
      </w:r>
      <w:r w:rsidR="00A855E2" w:rsidRPr="00740C88">
        <w:rPr>
          <w:u w:val="single"/>
        </w:rPr>
        <w:t>requirement that</w:t>
      </w:r>
      <w:r w:rsidRPr="00740C88">
        <w:rPr>
          <w:u w:val="single"/>
        </w:rPr>
        <w:t xml:space="preserve"> an individual target be named in a FISA warrant application</w:t>
      </w:r>
      <w:r>
        <w:t xml:space="preserve">, giving rise to </w:t>
      </w:r>
      <w:r w:rsidRPr="00740C88">
        <w:t>concerns about what have been dubbed “John Doe” warrants that specify neither</w:t>
      </w:r>
      <w:r w:rsidR="00A855E2">
        <w:t xml:space="preserve"> </w:t>
      </w:r>
      <w:r w:rsidRPr="00740C88">
        <w:t>a particular interception facility nor</w:t>
      </w:r>
      <w:r w:rsidR="00A855E2">
        <w:t xml:space="preserve"> </w:t>
      </w:r>
      <w:r w:rsidRPr="00740C88">
        <w:t xml:space="preserve">a particular named target. </w:t>
      </w:r>
      <w:r w:rsidRPr="00740C88">
        <w:rPr>
          <w:u w:val="single"/>
        </w:rPr>
        <w:t xml:space="preserve">An amendment in 2006 did at least add the requirement that the description identify a specific target—which would appear to entail that each target must be a particular individual person, rather than some indeterminate group or class of persons satisfying a general characterization. But when the identity of the target cannot be determined conclusively, this too becomes difficult to guarantee. So, for example, an application targeting the person residing at a particular location or using a particular phone </w:t>
      </w:r>
      <w:r w:rsidR="00A855E2" w:rsidRPr="00740C88">
        <w:rPr>
          <w:u w:val="single"/>
        </w:rPr>
        <w:t>will be</w:t>
      </w:r>
      <w:r w:rsidRPr="00740C88">
        <w:rPr>
          <w:u w:val="single"/>
        </w:rPr>
        <w:t xml:space="preserve"> indeterminate in scope if (unbeknownst to the applicant) multiple people in fact fit the description—rendering the communications of those other (potentially innocent) persons over multiple facilities susceptible to interception.</w:t>
      </w:r>
    </w:p>
    <w:p w14:paraId="48530257" w14:textId="77777777" w:rsidR="00DC1C78" w:rsidRDefault="00DC1C78" w:rsidP="00DC1C78">
      <w:pPr>
        <w:pStyle w:val="Contention1"/>
        <w:rPr>
          <w:shd w:val="clear" w:color="auto" w:fill="FFFFFF"/>
        </w:rPr>
      </w:pPr>
      <w:bookmarkStart w:id="25" w:name="_Toc266419030"/>
      <w:r>
        <w:rPr>
          <w:shd w:val="clear" w:color="auto" w:fill="FFFFFF"/>
        </w:rPr>
        <w:t>HARMS / SIGNIFICANCE</w:t>
      </w:r>
      <w:bookmarkEnd w:id="25"/>
    </w:p>
    <w:p w14:paraId="338D9D39" w14:textId="77777777" w:rsidR="00DC1C78" w:rsidRDefault="00DC1C78" w:rsidP="00DC1C78">
      <w:pPr>
        <w:pStyle w:val="Contention2"/>
      </w:pPr>
      <w:bookmarkStart w:id="26" w:name="_Toc266419031"/>
      <w:r>
        <w:t>Innocent bystanders get wiretapped</w:t>
      </w:r>
      <w:bookmarkEnd w:id="26"/>
    </w:p>
    <w:p w14:paraId="5AD55079" w14:textId="77777777" w:rsidR="00DC1C78" w:rsidRDefault="00DC1C78" w:rsidP="00DC1C78">
      <w:pPr>
        <w:pStyle w:val="Citation3"/>
      </w:pPr>
      <w:r w:rsidRPr="00247BA0">
        <w:rPr>
          <w:u w:val="single"/>
        </w:rPr>
        <w:t xml:space="preserve">Sharon </w:t>
      </w:r>
      <w:proofErr w:type="spellStart"/>
      <w:r w:rsidRPr="00247BA0">
        <w:rPr>
          <w:u w:val="single"/>
        </w:rPr>
        <w:t>Rackow</w:t>
      </w:r>
      <w:proofErr w:type="spellEnd"/>
      <w:r w:rsidRPr="00247BA0">
        <w:rPr>
          <w:u w:val="single"/>
        </w:rPr>
        <w:t xml:space="preserve"> 2002.</w:t>
      </w:r>
      <w:r>
        <w:t xml:space="preserve"> (J.D. candidate, Univ. of Pennsylvania Law School) </w:t>
      </w:r>
      <w:r w:rsidRPr="00247BA0">
        <w:t>HOW THEUSA PATRIOT ACT WILL PERMIT GOVERNMENTALINFRINGEMENT UPON THE PRIVACY OF AMERICANSIN THE NAME OF "INTELLIGENCE" INVESTIGATIONS</w:t>
      </w:r>
      <w:r w:rsidR="00A855E2">
        <w:t xml:space="preserve"> </w:t>
      </w:r>
      <w:hyperlink r:id="rId28" w:history="1">
        <w:r w:rsidRPr="00A066F3">
          <w:rPr>
            <w:rStyle w:val="Hyperlink"/>
          </w:rPr>
          <w:t>http://scholarship.law.upenn.edu/cgi/viewcontent.cgi?article=3279&amp;context=penn_law_review</w:t>
        </w:r>
      </w:hyperlink>
    </w:p>
    <w:p w14:paraId="447D17B6" w14:textId="77777777" w:rsidR="00DC1C78" w:rsidRPr="00DC1C78" w:rsidRDefault="00DC1C78" w:rsidP="00DC1C78">
      <w:pPr>
        <w:pStyle w:val="Evidence"/>
        <w:rPr>
          <w:u w:val="single"/>
        </w:rPr>
      </w:pPr>
      <w:r>
        <w:rPr>
          <w:rFonts w:eastAsia="MS Mincho"/>
          <w:bCs w:val="0"/>
          <w:color w:val="auto"/>
          <w:szCs w:val="22"/>
          <w:lang w:eastAsia="en-US"/>
        </w:rPr>
        <w:t xml:space="preserve">Yet, the </w:t>
      </w:r>
      <w:r>
        <w:rPr>
          <w:rFonts w:eastAsia="MS Mincho"/>
          <w:bCs w:val="0"/>
          <w:color w:val="auto"/>
          <w:szCs w:val="22"/>
          <w:u w:val="single"/>
          <w:lang w:eastAsia="en-US"/>
        </w:rPr>
        <w:t>extension of roving wiretap authority to FISA raises questions regarding how this provision will be implemented, as it does not contain the “reasonably proximate” privacy protection provision of Title III.</w:t>
      </w:r>
      <w:r>
        <w:rPr>
          <w:rFonts w:eastAsia="MS Mincho"/>
          <w:bCs w:val="0"/>
          <w:color w:val="auto"/>
          <w:szCs w:val="22"/>
          <w:lang w:eastAsia="en-US"/>
        </w:rPr>
        <w:t xml:space="preserve"> Therefore, pursuant to FISA authority, an agent now may wiretap a telephone even if it is unclear whether the target is actually using the telephone, or is reasonably close to it. </w:t>
      </w:r>
      <w:r>
        <w:rPr>
          <w:rFonts w:eastAsia="MS Mincho"/>
          <w:bCs w:val="0"/>
          <w:color w:val="auto"/>
          <w:szCs w:val="22"/>
          <w:u w:val="single"/>
          <w:lang w:eastAsia="en-US"/>
        </w:rPr>
        <w:t>An agent can wiretap and listen to a phone line in an innocent individual’s home for the entire day, if the agent had information that the target was expected to visit that person at some point during a given twenty-four hour period.</w:t>
      </w:r>
      <w:r>
        <w:rPr>
          <w:rFonts w:eastAsia="MS Mincho"/>
          <w:bCs w:val="0"/>
          <w:color w:val="auto"/>
          <w:szCs w:val="22"/>
          <w:lang w:eastAsia="en-US"/>
        </w:rPr>
        <w:t xml:space="preserve"> Even if it is clear that the target already had left the location, surveillance of that telephone theoretically can continue for an unlimited period of time. This means that </w:t>
      </w:r>
      <w:r>
        <w:rPr>
          <w:rFonts w:eastAsia="MS Mincho"/>
          <w:bCs w:val="0"/>
          <w:color w:val="auto"/>
          <w:szCs w:val="22"/>
          <w:u w:val="single"/>
          <w:lang w:eastAsia="en-US"/>
        </w:rPr>
        <w:t xml:space="preserve">the private conversations of the </w:t>
      </w:r>
      <w:proofErr w:type="gramStart"/>
      <w:r>
        <w:rPr>
          <w:rFonts w:eastAsia="MS Mincho"/>
          <w:bCs w:val="0"/>
          <w:color w:val="auto"/>
          <w:szCs w:val="22"/>
          <w:u w:val="single"/>
          <w:lang w:eastAsia="en-US"/>
        </w:rPr>
        <w:t>individuals</w:t>
      </w:r>
      <w:proofErr w:type="gramEnd"/>
      <w:r>
        <w:rPr>
          <w:rFonts w:eastAsia="MS Mincho"/>
          <w:bCs w:val="0"/>
          <w:color w:val="auto"/>
          <w:szCs w:val="22"/>
          <w:u w:val="single"/>
          <w:lang w:eastAsia="en-US"/>
        </w:rPr>
        <w:t xml:space="preserve"> who live in this particular home, as well as the conversations of all the people they speak with on the telephone over the course of that day, will be intercepted by the government without sufficient justification.</w:t>
      </w:r>
    </w:p>
    <w:p w14:paraId="0E036E39" w14:textId="77777777" w:rsidR="00DC1C78" w:rsidRDefault="00DC1C78" w:rsidP="00DC1C78">
      <w:pPr>
        <w:pStyle w:val="Contention2"/>
      </w:pPr>
      <w:bookmarkStart w:id="27" w:name="_Toc266419032"/>
      <w:r>
        <w:t>FISA wiretaps can collect widespread data from lots of people beyond those who are actually suspected of a crime</w:t>
      </w:r>
      <w:bookmarkEnd w:id="27"/>
    </w:p>
    <w:p w14:paraId="34A830AA" w14:textId="77777777" w:rsidR="00DC1C78" w:rsidRPr="009D368A" w:rsidRDefault="00DC1C78" w:rsidP="00DC1C78">
      <w:pPr>
        <w:pStyle w:val="Citation3"/>
        <w:rPr>
          <w:szCs w:val="59"/>
        </w:rPr>
      </w:pPr>
      <w:proofErr w:type="gramStart"/>
      <w:r w:rsidRPr="005C1C38">
        <w:rPr>
          <w:u w:val="single"/>
        </w:rPr>
        <w:t>Julian Sanchez 2011</w:t>
      </w:r>
      <w:r>
        <w:t>.</w:t>
      </w:r>
      <w:proofErr w:type="gramEnd"/>
      <w:r>
        <w:t xml:space="preserve"> (Senior Fellow, Cato Institute; former Washington Editor for the technology news site </w:t>
      </w:r>
      <w:proofErr w:type="spellStart"/>
      <w:r>
        <w:t>ArsTechnica</w:t>
      </w:r>
      <w:proofErr w:type="spellEnd"/>
      <w:r>
        <w:t xml:space="preserve">, where he covered surveillance, intellectual property, and telecom </w:t>
      </w:r>
      <w:r w:rsidR="00A855E2">
        <w:t xml:space="preserve">policy) </w:t>
      </w:r>
      <w:r w:rsidRPr="009D368A">
        <w:rPr>
          <w:szCs w:val="59"/>
        </w:rPr>
        <w:t xml:space="preserve">Leashing the Surveillance State - </w:t>
      </w:r>
      <w:r w:rsidRPr="009D368A">
        <w:rPr>
          <w:szCs w:val="50"/>
        </w:rPr>
        <w:t>How to Reform Patriot Act Surveillance Authoritie</w:t>
      </w:r>
      <w:r>
        <w:rPr>
          <w:szCs w:val="50"/>
        </w:rPr>
        <w:t>s, 16 May 2011</w:t>
      </w:r>
      <w:r w:rsidR="00A855E2">
        <w:rPr>
          <w:szCs w:val="50"/>
        </w:rPr>
        <w:t xml:space="preserve"> </w:t>
      </w:r>
      <w:hyperlink r:id="rId29" w:history="1">
        <w:r w:rsidR="00A371CF" w:rsidRPr="00A066F3">
          <w:rPr>
            <w:rStyle w:val="Hyperlink"/>
            <w:szCs w:val="50"/>
          </w:rPr>
          <w:t>http://www.cato.org/sites/cato.org/files/pubs/pdf/PA675.pdf</w:t>
        </w:r>
      </w:hyperlink>
    </w:p>
    <w:p w14:paraId="335FA6D3" w14:textId="77777777" w:rsidR="00DC1C78" w:rsidRDefault="00DC1C78" w:rsidP="00DC1C78">
      <w:pPr>
        <w:pStyle w:val="Evidence"/>
      </w:pPr>
      <w:r w:rsidRPr="009D368A">
        <w:t xml:space="preserve">Though the evidentiary showing needed to target a person under FISA is looser than under criminal law, the surveillance powers it affords are substantially broader. So-called “Title III” wiretaps in criminal cases require evidence of a “nexus” between suspected criminal activity and each location or communications facility </w:t>
      </w:r>
      <w:r w:rsidR="00A855E2" w:rsidRPr="009D368A">
        <w:t>monitored. Even</w:t>
      </w:r>
      <w:r w:rsidRPr="009D368A">
        <w:t xml:space="preserve"> then, agents are only supposed to record conversations that are pertinent to the investigation. Once someone is designated as an agent of a foreign power, by contrast, information collection is “heavily weighted toward the government’s need for foreign intelligence information,” meaning that “large amounts of information are collected by automatic recording to be minimized after the fact,</w:t>
      </w:r>
      <w:r w:rsidR="00A855E2" w:rsidRPr="009D368A">
        <w:t>” with</w:t>
      </w:r>
      <w:r w:rsidRPr="009D368A">
        <w:t xml:space="preserve"> the minimization of irrelevant information occurring “hours, days, or weeks after collection.” In general, FISA “permits acquisition of nearly all information from a monitored facility or a searched location.” And as </w:t>
      </w:r>
      <w:r w:rsidR="00A855E2" w:rsidRPr="009D368A">
        <w:t>the discussion</w:t>
      </w:r>
      <w:r w:rsidRPr="009D368A">
        <w:t xml:space="preserve"> of the other provisions analyzed below should make clear, even casual associates of a target of FISA surveillance become susceptible to acquisition of private records detailing their activities. Even when information has been formally minimized, it may remain, in practice, available to intelligence agencies. </w:t>
      </w:r>
    </w:p>
    <w:p w14:paraId="778FC7E9" w14:textId="77777777" w:rsidR="00DC1C78" w:rsidRDefault="00DC1C78" w:rsidP="00DC1C78">
      <w:pPr>
        <w:pStyle w:val="Contention2"/>
      </w:pPr>
      <w:bookmarkStart w:id="28" w:name="_Toc266419033"/>
      <w:r>
        <w:lastRenderedPageBreak/>
        <w:t>Constitutional rights and vital human rights are lost when privacy is violated</w:t>
      </w:r>
      <w:bookmarkEnd w:id="28"/>
    </w:p>
    <w:p w14:paraId="61F53EFD" w14:textId="77777777" w:rsidR="00DC1C78" w:rsidRDefault="00DC1C78" w:rsidP="00DC1C78">
      <w:pPr>
        <w:pStyle w:val="Citation3"/>
      </w:pPr>
      <w:proofErr w:type="gramStart"/>
      <w:r w:rsidRPr="00A85031">
        <w:rPr>
          <w:u w:val="single"/>
        </w:rPr>
        <w:t>Supreme Court Justice Louis Brandeis 1928.</w:t>
      </w:r>
      <w:proofErr w:type="gramEnd"/>
      <w:r>
        <w:t xml:space="preserve"> Dissenting opinion in the case of Olmstead v. United States - 277 U.S. 438, 4 June 1928 </w:t>
      </w:r>
      <w:hyperlink r:id="rId30" w:history="1">
        <w:r w:rsidR="00A371CF" w:rsidRPr="00A066F3">
          <w:rPr>
            <w:rStyle w:val="Hyperlink"/>
          </w:rPr>
          <w:t>https://supreme.justia.com/cases/federal/us/277/438/case.html</w:t>
        </w:r>
      </w:hyperlink>
    </w:p>
    <w:p w14:paraId="187E47CE" w14:textId="77777777" w:rsidR="00DC1C78" w:rsidRPr="00247BA0" w:rsidRDefault="00DC1C78" w:rsidP="00DC1C78">
      <w:pPr>
        <w:pStyle w:val="Evidence"/>
      </w:pPr>
      <w:r>
        <w:rPr>
          <w:rStyle w:val="headertext"/>
        </w:rPr>
        <w:t>The protection guaranteed by the Amendments is much broader in scope. The makers of our Constitution undertook to secure conditions favorable to the pursuit of happiness. They recognized the significance of man's spiritual nature, of his feelings, and of his intellect. They knew that only a part of the pain, pleasure and satisfactions of life are to be found in material things. They sought to protect Americans in their beliefs, their thoughts, their emotions and their sensations. They conferred, as against the Government, the right to be let alone -- the most comprehensive of rights, and the right most valued by civilized men. To protect that right, every unjustifiable intrusion by the Government upon the privacy of the individual, whatever the means employed, must be deemed a violation of the Fourth Amendment.</w:t>
      </w:r>
    </w:p>
    <w:p w14:paraId="3F955FC9" w14:textId="77777777" w:rsidR="00DC1C78" w:rsidRDefault="00DC1C78" w:rsidP="00DC1C78">
      <w:pPr>
        <w:pStyle w:val="Contention1"/>
      </w:pPr>
      <w:bookmarkStart w:id="29" w:name="_Toc266419034"/>
      <w:r>
        <w:t>SOLVENCY / ADVOCACY</w:t>
      </w:r>
      <w:bookmarkEnd w:id="29"/>
    </w:p>
    <w:p w14:paraId="60887377" w14:textId="77777777" w:rsidR="00DC1C78" w:rsidRDefault="00DC1C78" w:rsidP="00DC1C78">
      <w:pPr>
        <w:pStyle w:val="Contention2"/>
      </w:pPr>
      <w:bookmarkStart w:id="30" w:name="_Toc266419035"/>
      <w:r>
        <w:t>Having a known identity for the target is key to preventing erroneous surveillance</w:t>
      </w:r>
      <w:bookmarkEnd w:id="30"/>
    </w:p>
    <w:p w14:paraId="6DC28713" w14:textId="77777777" w:rsidR="00DC1C78" w:rsidRDefault="00DC1C78" w:rsidP="00DC1C78">
      <w:pPr>
        <w:pStyle w:val="Citation3"/>
      </w:pPr>
      <w:proofErr w:type="gramStart"/>
      <w:r w:rsidRPr="005C1C38">
        <w:rPr>
          <w:u w:val="single"/>
        </w:rPr>
        <w:t>Julian Sanchez 2011</w:t>
      </w:r>
      <w:r>
        <w:t>.</w:t>
      </w:r>
      <w:proofErr w:type="gramEnd"/>
      <w:r>
        <w:t xml:space="preserve"> (Senior Fellow, Cato Institute; former Washington Editor for the technology news site </w:t>
      </w:r>
      <w:proofErr w:type="spellStart"/>
      <w:r>
        <w:t>ArsTechnica</w:t>
      </w:r>
      <w:proofErr w:type="spellEnd"/>
      <w:r>
        <w:t xml:space="preserve">, where he covered surveillance, intellectual property, and telecom </w:t>
      </w:r>
      <w:r w:rsidR="00A855E2">
        <w:t>policy)</w:t>
      </w:r>
      <w:r>
        <w:t xml:space="preserve"> The Risks of ‘John Doe’ Wiretaps 4 Apr </w:t>
      </w:r>
      <w:r w:rsidR="00A855E2">
        <w:t xml:space="preserve">2011 </w:t>
      </w:r>
      <w:hyperlink r:id="rId31" w:history="1">
        <w:r w:rsidR="00A371CF" w:rsidRPr="00A066F3">
          <w:rPr>
            <w:rStyle w:val="Hyperlink"/>
          </w:rPr>
          <w:t>http://www.cato.org/blog/risks-john-doe-wiretaps</w:t>
        </w:r>
      </w:hyperlink>
    </w:p>
    <w:p w14:paraId="5AC4E4DA" w14:textId="77777777" w:rsidR="00DC1C78" w:rsidRDefault="00DC1C78" w:rsidP="00DC1C78">
      <w:pPr>
        <w:pStyle w:val="Evidence"/>
      </w:pPr>
      <w:r>
        <w:t xml:space="preserve">Third, consider how important a named and identified target is to quickly catching an error. In this case, one of the technicians responsible for executing the wiretap noticed that the people named in the warrant had already disconnected service to one of the targeted phone lines. Having an actual </w:t>
      </w:r>
      <w:r>
        <w:rPr>
          <w:rStyle w:val="Emphasis"/>
        </w:rPr>
        <w:t>identity</w:t>
      </w:r>
      <w:r>
        <w:t xml:space="preserve"> for your target is also a decent proxy for having many other types of information about them: In this case, the analyst monitoring the recordings had a set of expectations about what the subjects sounded like and what language they would be speaking. In other cases, it might become apparent that a phone is making calls from one location when the target specified in the warrant is known to be elsewhere. </w:t>
      </w:r>
      <w:r>
        <w:rPr>
          <w:rStyle w:val="Emphasis"/>
        </w:rPr>
        <w:t>Could</w:t>
      </w:r>
      <w:r>
        <w:t xml:space="preserve"> these things be known for a target whose name isn’t? Sure. But as a rule, a description specific enough to guide initial targeting isn’t necessarily data-rich enough to enable very robust error-correction. Since the presumption is that people wiretapped under FISA warrants do not get notified even after the fact, this internal correction is the only real check on erroneous targeting. When wiretaps are limited neither by facility nor a known target identity, it’s not just that there’s greater risk of tapping the wrong line—it’s that it becomes much more likely nobody will be able to detect with any certainty that a mistake has been made.</w:t>
      </w:r>
    </w:p>
    <w:p w14:paraId="4E8C7043" w14:textId="77777777" w:rsidR="00DC1C78" w:rsidRDefault="00DC1C78" w:rsidP="00DC1C78">
      <w:pPr>
        <w:pStyle w:val="Contention2"/>
      </w:pPr>
      <w:bookmarkStart w:id="31" w:name="_Toc266419036"/>
      <w:r>
        <w:t>FISA roving warrants should have the same individual identification requirements as Title III</w:t>
      </w:r>
      <w:bookmarkEnd w:id="31"/>
    </w:p>
    <w:p w14:paraId="7CBB97D9" w14:textId="77777777" w:rsidR="00DC1C78" w:rsidRPr="009D368A" w:rsidRDefault="00DC1C78" w:rsidP="00DC1C78">
      <w:pPr>
        <w:pStyle w:val="Citation3"/>
        <w:rPr>
          <w:szCs w:val="59"/>
        </w:rPr>
      </w:pPr>
      <w:proofErr w:type="gramStart"/>
      <w:r w:rsidRPr="005C1C38">
        <w:rPr>
          <w:u w:val="single"/>
        </w:rPr>
        <w:t>Julian Sanchez 2011</w:t>
      </w:r>
      <w:r>
        <w:t>.</w:t>
      </w:r>
      <w:proofErr w:type="gramEnd"/>
      <w:r>
        <w:t xml:space="preserve"> (Senior Fellow, Cato Institute; former Washington Editor for the technology news site </w:t>
      </w:r>
      <w:proofErr w:type="spellStart"/>
      <w:r>
        <w:t>ArsTechnica</w:t>
      </w:r>
      <w:proofErr w:type="spellEnd"/>
      <w:r>
        <w:t xml:space="preserve">, where he covered surveillance, intellectual property, and telecom </w:t>
      </w:r>
      <w:r w:rsidR="00A855E2">
        <w:t xml:space="preserve">policy) </w:t>
      </w:r>
      <w:r w:rsidRPr="009D368A">
        <w:rPr>
          <w:szCs w:val="59"/>
        </w:rPr>
        <w:t xml:space="preserve">Leashing the Surveillance State - </w:t>
      </w:r>
      <w:r w:rsidRPr="009D368A">
        <w:rPr>
          <w:szCs w:val="50"/>
        </w:rPr>
        <w:t>How to Reform Patriot Act Surveillance Authoritie</w:t>
      </w:r>
      <w:r>
        <w:rPr>
          <w:szCs w:val="50"/>
        </w:rPr>
        <w:t>s, 16 May 2011</w:t>
      </w:r>
      <w:r w:rsidR="00A855E2">
        <w:rPr>
          <w:szCs w:val="50"/>
        </w:rPr>
        <w:t xml:space="preserve"> </w:t>
      </w:r>
      <w:hyperlink r:id="rId32" w:history="1">
        <w:r w:rsidR="00A371CF" w:rsidRPr="00A066F3">
          <w:rPr>
            <w:rStyle w:val="Hyperlink"/>
            <w:szCs w:val="50"/>
          </w:rPr>
          <w:t>http://www.cato.org/sites/cato.org/files/pubs/pdf/PA675.pdf</w:t>
        </w:r>
      </w:hyperlink>
    </w:p>
    <w:p w14:paraId="43BD540C" w14:textId="77777777" w:rsidR="00DC1C78" w:rsidRDefault="00DC1C78" w:rsidP="00DC1C78">
      <w:pPr>
        <w:pStyle w:val="Evidence"/>
        <w:rPr>
          <w:szCs w:val="27"/>
        </w:rPr>
      </w:pPr>
      <w:r w:rsidRPr="00D756B1">
        <w:rPr>
          <w:szCs w:val="27"/>
          <w:u w:val="single"/>
        </w:rPr>
        <w:t>Because FISA surveillance is in practice subject to less robust ex post scrutiny, it is, if anything, more important to constrain the discretion of investigators in selecting target facilities at the acquisition stage. Ideally, Congress should impose a requirement, parallel to Title III, that the target of a roving wiretap be a named individual</w:t>
      </w:r>
      <w:r w:rsidRPr="008022D7">
        <w:rPr>
          <w:szCs w:val="27"/>
        </w:rPr>
        <w:t xml:space="preserve">—as in all likelihood is already the case for the vast majority of the 22 roving FISA wiretaps issued, on average, each year. For the small number of unnamed targets, the array of other FISA tools that would already be available—including facilities-based wiretaps and authority to acquire business records—should enable identification of the target before roving surveillance begins. </w:t>
      </w:r>
    </w:p>
    <w:p w14:paraId="514E1FB5" w14:textId="77777777" w:rsidR="00DC1C78" w:rsidRDefault="00DC1C78" w:rsidP="00DC1C78">
      <w:pPr>
        <w:pStyle w:val="Contention2"/>
      </w:pPr>
      <w:bookmarkStart w:id="32" w:name="_Toc266419037"/>
      <w:r>
        <w:lastRenderedPageBreak/>
        <w:t>FISA roving wiretaps should have “ascertainment” requirement:  Only conduct surveillance when the target is known to be present</w:t>
      </w:r>
      <w:bookmarkEnd w:id="32"/>
    </w:p>
    <w:p w14:paraId="3D234A4E" w14:textId="77777777" w:rsidR="00DC1C78" w:rsidRPr="008869C6" w:rsidRDefault="00DC1C78" w:rsidP="00DC1C78">
      <w:pPr>
        <w:pStyle w:val="Citation3"/>
      </w:pPr>
      <w:r w:rsidRPr="008869C6">
        <w:rPr>
          <w:rStyle w:val="Emphasis"/>
          <w:iCs w:val="0"/>
          <w:u w:val="single"/>
        </w:rPr>
        <w:t>James X. Dempsey</w:t>
      </w:r>
      <w:r w:rsidRPr="008869C6">
        <w:rPr>
          <w:u w:val="single"/>
        </w:rPr>
        <w:t> 2005</w:t>
      </w:r>
      <w:r w:rsidRPr="008869C6">
        <w:t xml:space="preserve">. (Executive Director of the Center for Democracy &amp; Technology. He works on privacy and electronic surveillance issues and heads CDT's international project, the Global Internet Policy Initiative. Prior to joining CDT, Mr. Dempsey was Deputy Director for the Center for National Security Studies. Mr. Dempsey previously worked on Capitol Hill as assistant counsel to the House Judiciary Subcommittee on Civil and Constitutional </w:t>
      </w:r>
      <w:proofErr w:type="gramStart"/>
      <w:r w:rsidRPr="008869C6">
        <w:t>Right )</w:t>
      </w:r>
      <w:proofErr w:type="gramEnd"/>
      <w:r w:rsidR="00A371CF">
        <w:t>“</w:t>
      </w:r>
      <w:r w:rsidRPr="00A371CF">
        <w:rPr>
          <w:rStyle w:val="Strong"/>
          <w:b w:val="0"/>
        </w:rPr>
        <w:t>Why Section 206 Should be Modified</w:t>
      </w:r>
      <w:r w:rsidRPr="008869C6">
        <w:t xml:space="preserve">” </w:t>
      </w:r>
      <w:hyperlink r:id="rId33" w:history="1">
        <w:r w:rsidR="00A371CF" w:rsidRPr="00A066F3">
          <w:rPr>
            <w:rStyle w:val="Hyperlink"/>
          </w:rPr>
          <w:t>http://apps.americanbar.org/natsecurity/patriotdebates/section-206</w:t>
        </w:r>
      </w:hyperlink>
    </w:p>
    <w:p w14:paraId="0DE66D3A" w14:textId="77777777" w:rsidR="00DC1C78" w:rsidRDefault="00DC1C78" w:rsidP="00DC1C78">
      <w:pPr>
        <w:pStyle w:val="Evidence"/>
      </w:pPr>
      <w:r w:rsidRPr="008869C6">
        <w:t xml:space="preserve">First, roving taps in criminal cases are subject to an "ascertainment' requirement. This means that the surveillance can be set up in advance but cannot be activated until the officers in charge of the operation have a good sense that the target is actually using a particular telephone or computer. For example, the roving tap on a hotel room cannot be activated until the suspect checks into the hotel. A roving tap on a computer in a library can be all set up but it cannot be activated until the suspect is seen to sit down at the particular computer. This ascertainment requirement helps ensure a wiretap is turned on only when the target is present, and thereby protects the privacy of innocent users. The FISA roving tap authority added by the PATRIOT Act has no parallel protection. This can be fixed pretty easily: an ascertainment requirement should be added to the FISA roving tap authority in 50 U.S.C. § 1805(c) to require that "in cases where the facility or place at which the surveillance is to be directed is not known at the time the order is issued, the surveillance be conducted only when the presence of the target at a particular facility or place has been ascertained by the person conducting the surveillance.' </w:t>
      </w:r>
    </w:p>
    <w:p w14:paraId="5BF90A35" w14:textId="77777777" w:rsidR="00DC1C78" w:rsidRDefault="00DC1C78" w:rsidP="00DC1C78">
      <w:pPr>
        <w:pStyle w:val="Contention2"/>
      </w:pPr>
      <w:bookmarkStart w:id="33" w:name="_Toc266419038"/>
      <w:r>
        <w:t>“John Doe” FISA wiretaps should be reformed:  Need to specify the person or location of the surveillance</w:t>
      </w:r>
      <w:bookmarkEnd w:id="33"/>
    </w:p>
    <w:p w14:paraId="7C097FAC" w14:textId="77777777" w:rsidR="00DC1C78" w:rsidRPr="008869C6" w:rsidRDefault="00DC1C78" w:rsidP="00DC1C78">
      <w:pPr>
        <w:pStyle w:val="Citation3"/>
      </w:pPr>
      <w:r w:rsidRPr="008869C6">
        <w:rPr>
          <w:rStyle w:val="Emphasis"/>
          <w:iCs w:val="0"/>
          <w:u w:val="single"/>
        </w:rPr>
        <w:t>James X. Dempsey</w:t>
      </w:r>
      <w:r w:rsidRPr="008869C6">
        <w:rPr>
          <w:u w:val="single"/>
        </w:rPr>
        <w:t> 2005</w:t>
      </w:r>
      <w:r w:rsidRPr="008869C6">
        <w:t xml:space="preserve">. (Executive Director of the Center for Democracy &amp; Technology. He works on privacy and electronic surveillance issues and heads CDT's international project, the Global Internet Policy Initiative. Prior to joining CDT, Mr. Dempsey was Deputy Director for the Center for National Security Studies. Mr. Dempsey previously worked on Capitol Hill as assistant counsel to the House Judiciary Subcommittee on Civil and Constitutional </w:t>
      </w:r>
      <w:proofErr w:type="gramStart"/>
      <w:r w:rsidRPr="008869C6">
        <w:t>Right )</w:t>
      </w:r>
      <w:proofErr w:type="gramEnd"/>
      <w:r w:rsidR="00A371CF">
        <w:t>“</w:t>
      </w:r>
      <w:r w:rsidRPr="00A371CF">
        <w:rPr>
          <w:rStyle w:val="Strong"/>
          <w:b w:val="0"/>
        </w:rPr>
        <w:t>Why Section 206 Should be Modified</w:t>
      </w:r>
      <w:r w:rsidR="00A371CF" w:rsidRPr="00A371CF">
        <w:t>”</w:t>
      </w:r>
      <w:hyperlink r:id="rId34" w:history="1">
        <w:r w:rsidR="00A371CF" w:rsidRPr="00A066F3">
          <w:rPr>
            <w:rStyle w:val="Hyperlink"/>
          </w:rPr>
          <w:t>http://apps.americanbar.org/natsecurity/patriotdebates/section-206</w:t>
        </w:r>
      </w:hyperlink>
    </w:p>
    <w:p w14:paraId="1373E352" w14:textId="77777777" w:rsidR="00DC1C78" w:rsidRPr="008869C6" w:rsidRDefault="00DC1C78" w:rsidP="00DC1C78">
      <w:pPr>
        <w:pStyle w:val="Evidence"/>
      </w:pPr>
      <w:r w:rsidRPr="00A855E2">
        <w:rPr>
          <w:u w:val="single"/>
        </w:rPr>
        <w:t xml:space="preserve">Second, as to the John Doe issue, the rule for FISA taps should be the same as the rule for criminal taps, which is very simple: the government's application and the judicial warrant should specify either the person or the place to be </w:t>
      </w:r>
      <w:proofErr w:type="spellStart"/>
      <w:r w:rsidRPr="00A855E2">
        <w:rPr>
          <w:u w:val="single"/>
        </w:rPr>
        <w:t>surveilled</w:t>
      </w:r>
      <w:proofErr w:type="spellEnd"/>
      <w:r w:rsidRPr="008869C6">
        <w:t>. See 18 U.S.C. § 2518(11)(b)(ii), in the criminal wiretap statute, which specifically requires that a roving tap must "</w:t>
      </w:r>
      <w:proofErr w:type="spellStart"/>
      <w:proofErr w:type="gramStart"/>
      <w:r w:rsidRPr="008869C6">
        <w:t>identif</w:t>
      </w:r>
      <w:proofErr w:type="spellEnd"/>
      <w:r w:rsidRPr="008869C6">
        <w:t>[</w:t>
      </w:r>
      <w:proofErr w:type="gramEnd"/>
      <w:r w:rsidRPr="008869C6">
        <w:t xml:space="preserve">y] the person' to be tapped.' However, as a result of changes made "outside the scope' of the FY 2002 intelligence authorization bill conference, </w:t>
      </w:r>
      <w:r w:rsidRPr="00A855E2">
        <w:rPr>
          <w:u w:val="single"/>
        </w:rPr>
        <w:t xml:space="preserve">FISA as now drafted seems to allow applications and orders that specify neither the person nor the location to be tapped. Specifically, the statute permits the FISA court to issue an order that specifies "the identity, </w:t>
      </w:r>
      <w:r w:rsidRPr="00A855E2">
        <w:rPr>
          <w:i/>
          <w:iCs/>
          <w:u w:val="single"/>
        </w:rPr>
        <w:t>if known</w:t>
      </w:r>
      <w:r w:rsidRPr="00A855E2">
        <w:rPr>
          <w:u w:val="single"/>
        </w:rPr>
        <w:t xml:space="preserve">, or a description of the target of the electronic surveillance' and "the nature and location of each of the facilities or places at which the electronic surveillance will be directed, </w:t>
      </w:r>
      <w:r w:rsidRPr="00A855E2">
        <w:rPr>
          <w:i/>
          <w:iCs/>
          <w:u w:val="single"/>
        </w:rPr>
        <w:t>if known</w:t>
      </w:r>
      <w:r w:rsidRPr="008869C6">
        <w:t xml:space="preserve">.' </w:t>
      </w:r>
      <w:proofErr w:type="gramStart"/>
      <w:r w:rsidRPr="008869C6">
        <w:t>50 U.S.C. § 1805(c)(1)(A), (B).</w:t>
      </w:r>
      <w:proofErr w:type="gramEnd"/>
      <w:r w:rsidRPr="008869C6">
        <w:t xml:space="preserve"> The roving tap authority, which was added in a somewhat careless fashion, does not require roving taps to specifically identify the target of the surveillance. </w:t>
      </w:r>
      <w:r w:rsidRPr="00A855E2">
        <w:rPr>
          <w:u w:val="single"/>
        </w:rPr>
        <w:t xml:space="preserve">Thus, if neither the identity nor the facilities are known, the order could be issued with only a general description of the individual to be tapped. Neither the statute nor the legislative history indicates how specific any such description must </w:t>
      </w:r>
      <w:r w:rsidR="00A855E2" w:rsidRPr="00A855E2">
        <w:rPr>
          <w:u w:val="single"/>
        </w:rPr>
        <w:t>be. This</w:t>
      </w:r>
      <w:r w:rsidRPr="00A855E2">
        <w:rPr>
          <w:u w:val="single"/>
        </w:rPr>
        <w:t xml:space="preserve"> is unprecedented, probably unintended, and probably unconstitutional</w:t>
      </w:r>
      <w:r w:rsidRPr="008869C6">
        <w:t xml:space="preserve">. It permits the FISA court to issue a wiretap order authorizing the FBI to listen in on a telephone or e-mail conversation of a person not named in the order, at any telephone or computer the unnamed person might use. This loophole, even if it was unintentional should be corrected. </w:t>
      </w:r>
    </w:p>
    <w:p w14:paraId="5FE481C0" w14:textId="77777777" w:rsidR="00DC1C78" w:rsidRDefault="00DC1C78" w:rsidP="00A371CF">
      <w:pPr>
        <w:pStyle w:val="Contention1"/>
        <w:rPr>
          <w:shd w:val="clear" w:color="auto" w:fill="FFFFFF"/>
        </w:rPr>
      </w:pPr>
      <w:bookmarkStart w:id="34" w:name="_Toc266419039"/>
      <w:r>
        <w:rPr>
          <w:shd w:val="clear" w:color="auto" w:fill="FFFFFF"/>
        </w:rPr>
        <w:lastRenderedPageBreak/>
        <w:t>DISADVANTAGE RESPONSES</w:t>
      </w:r>
      <w:bookmarkEnd w:id="34"/>
    </w:p>
    <w:p w14:paraId="5C528F18" w14:textId="77777777" w:rsidR="00DC1C78" w:rsidRDefault="00DC1C78" w:rsidP="00A371CF">
      <w:pPr>
        <w:pStyle w:val="Contention2"/>
        <w:rPr>
          <w:shd w:val="clear" w:color="auto" w:fill="FFFFFF"/>
        </w:rPr>
      </w:pPr>
      <w:bookmarkStart w:id="35" w:name="_Toc266419040"/>
      <w:r>
        <w:rPr>
          <w:shd w:val="clear" w:color="auto" w:fill="FFFFFF"/>
        </w:rPr>
        <w:t>Advocacy: Sen. Russ Feingold proposed the safeguards when the Patriot Act was first debated</w:t>
      </w:r>
      <w:r>
        <w:rPr>
          <w:shd w:val="clear" w:color="auto" w:fill="FFFFFF"/>
        </w:rPr>
        <w:br/>
        <w:t>DA Response:  Won’t hurt intelligence or law enforcement because Title III operates just fine with these safeguards, so it won’t hurt FISA to have the same rules</w:t>
      </w:r>
      <w:bookmarkEnd w:id="35"/>
    </w:p>
    <w:p w14:paraId="66487E95" w14:textId="77777777" w:rsidR="00DC1C78" w:rsidRDefault="00DC1C78" w:rsidP="00A371CF">
      <w:pPr>
        <w:pStyle w:val="Citation3"/>
      </w:pPr>
      <w:r w:rsidRPr="00247BA0">
        <w:rPr>
          <w:u w:val="single"/>
        </w:rPr>
        <w:t xml:space="preserve">Sharon </w:t>
      </w:r>
      <w:proofErr w:type="spellStart"/>
      <w:r w:rsidRPr="00247BA0">
        <w:rPr>
          <w:u w:val="single"/>
        </w:rPr>
        <w:t>Rackow</w:t>
      </w:r>
      <w:proofErr w:type="spellEnd"/>
      <w:r w:rsidRPr="00247BA0">
        <w:rPr>
          <w:u w:val="single"/>
        </w:rPr>
        <w:t xml:space="preserve"> 2002.</w:t>
      </w:r>
      <w:r>
        <w:t xml:space="preserve"> (J.D. candidate, Univ. of Pennsylvania Law School) </w:t>
      </w:r>
      <w:r w:rsidRPr="00247BA0">
        <w:t>HOW THEUSA PATRIOT ACT WILL PERMIT GOVERNMENTALINFRINGEMENT UPON THE PRIVACY OF AMERICANSIN THE NAME OF "INTELLIGENCE" INVESTIGATIONS</w:t>
      </w:r>
      <w:r w:rsidR="00A855E2">
        <w:t xml:space="preserve"> </w:t>
      </w:r>
      <w:hyperlink r:id="rId35" w:history="1">
        <w:r w:rsidR="00A371CF" w:rsidRPr="00A066F3">
          <w:rPr>
            <w:rStyle w:val="Hyperlink"/>
          </w:rPr>
          <w:t>http://scholarship.law.upenn.edu/cgi/viewcontent.cgi?article=3279&amp;context=penn_law_review</w:t>
        </w:r>
      </w:hyperlink>
    </w:p>
    <w:p w14:paraId="062D056E" w14:textId="77777777" w:rsidR="00DC1C78" w:rsidRPr="00A371CF" w:rsidRDefault="00A371CF" w:rsidP="00A371CF">
      <w:pPr>
        <w:pStyle w:val="Evidence"/>
      </w:pPr>
      <w:r>
        <w:rPr>
          <w:rFonts w:eastAsia="MS Mincho"/>
          <w:bCs w:val="0"/>
          <w:color w:val="auto"/>
          <w:szCs w:val="22"/>
          <w:lang w:eastAsia="en-US"/>
        </w:rPr>
        <w:t>Senator Feingold further explained that a protective provision similar to that found under Title III likely would not hinder intelligence or law enforcement surveillance activities under FISA, as the longstanding success of extensive and sophisticated Title III wiretaps demonstrates. If the “reasonably proximate” provision of Title III wiretaps had been found to be inefficient and burdensome there would have been an effort to change it, yet there has been no such endeavor since the enactment of the provision in 1986. Therefore, there is no legitimate reason why Senator Feingold’s proposed amendment or a provision similar to that found in Title III should not be added to section 206’s extension of roving wiretap authority to FISA surveillance.</w:t>
      </w:r>
    </w:p>
    <w:p w14:paraId="083604A3" w14:textId="77777777" w:rsidR="00DC1C78" w:rsidRDefault="00DC1C78" w:rsidP="00A371CF">
      <w:pPr>
        <w:pStyle w:val="Contention2"/>
      </w:pPr>
      <w:bookmarkStart w:id="36" w:name="_Toc266419041"/>
      <w:r>
        <w:t>Limiting roving wiretaps would aid the fight against terrorism:  focuses government resources only on the bad guys</w:t>
      </w:r>
      <w:bookmarkEnd w:id="36"/>
    </w:p>
    <w:p w14:paraId="1B5C931F" w14:textId="77777777" w:rsidR="00DC1C78" w:rsidRPr="008869C6" w:rsidRDefault="00DC1C78" w:rsidP="00A371CF">
      <w:pPr>
        <w:pStyle w:val="Citation3"/>
      </w:pPr>
      <w:r w:rsidRPr="008869C6">
        <w:rPr>
          <w:rStyle w:val="Emphasis"/>
          <w:i/>
          <w:iCs w:val="0"/>
          <w:u w:val="single"/>
        </w:rPr>
        <w:t>James X. Dempsey</w:t>
      </w:r>
      <w:r w:rsidRPr="008869C6">
        <w:rPr>
          <w:u w:val="single"/>
        </w:rPr>
        <w:t> 2005</w:t>
      </w:r>
      <w:r w:rsidRPr="008869C6">
        <w:t xml:space="preserve">. (Executive Director of the Center for Democracy &amp; Technology. He works on privacy and electronic surveillance issues and heads CDT's international project, the Global Internet Policy Initiative. Prior to joining CDT, Mr. Dempsey was Deputy Director for the Center for National Security Studies. Mr. Dempsey previously worked on Capitol Hill as assistant counsel to the House Judiciary Subcommittee on Civil </w:t>
      </w:r>
      <w:r w:rsidRPr="00A371CF">
        <w:t xml:space="preserve">and Constitutional </w:t>
      </w:r>
      <w:bookmarkStart w:id="37" w:name="opening"/>
      <w:r w:rsidR="00A855E2" w:rsidRPr="00A371CF">
        <w:t>Right)</w:t>
      </w:r>
      <w:r w:rsidR="00A371CF">
        <w:t>“</w:t>
      </w:r>
      <w:r w:rsidRPr="00A371CF">
        <w:rPr>
          <w:rStyle w:val="Strong"/>
          <w:b w:val="0"/>
        </w:rPr>
        <w:t>Why Section 206 Should be Modified</w:t>
      </w:r>
      <w:bookmarkEnd w:id="37"/>
      <w:r w:rsidRPr="00A371CF">
        <w:t>”</w:t>
      </w:r>
      <w:r w:rsidR="00A855E2">
        <w:t xml:space="preserve"> </w:t>
      </w:r>
      <w:hyperlink r:id="rId36" w:history="1">
        <w:r w:rsidR="00A371CF" w:rsidRPr="00A066F3">
          <w:rPr>
            <w:rStyle w:val="Hyperlink"/>
          </w:rPr>
          <w:t>http://apps.americanbar.org/natsecurity/patriotdebates/section-206</w:t>
        </w:r>
      </w:hyperlink>
    </w:p>
    <w:p w14:paraId="4984BEB0" w14:textId="77777777" w:rsidR="00DC1C78" w:rsidRPr="008869C6" w:rsidRDefault="00DC1C78" w:rsidP="00DC1C78">
      <w:pPr>
        <w:pStyle w:val="Evidence"/>
      </w:pPr>
      <w:r w:rsidRPr="008869C6">
        <w:t xml:space="preserve">Another important protection is the so-called ascertainment requirement. The purpose of roving taps is to follow the bad guy, so unless the bad guy is being followed, the roving tap cannot and should not be </w:t>
      </w:r>
      <w:r w:rsidR="00A855E2" w:rsidRPr="008869C6">
        <w:t>activated. The</w:t>
      </w:r>
      <w:r w:rsidRPr="008869C6">
        <w:t xml:space="preserve"> prior essay presents a false choice between fighting terrorism, on the one hand, and preserving the civil liberties of innocent people on the other. True, we have checks and balances in part to protect the innocent. But we impose limits on government agents also in order to focus their activities and make them more effective. The ascertainment requirement serves to focus government surveillance resources—it ensures that the FBI is not going up on </w:t>
      </w:r>
      <w:proofErr w:type="gramStart"/>
      <w:r w:rsidRPr="008869C6">
        <w:t>a surveillance</w:t>
      </w:r>
      <w:proofErr w:type="gramEnd"/>
      <w:r w:rsidRPr="008869C6">
        <w:t xml:space="preserve"> without reason to believe that the targeted person is using a particular phone or computer. In this way, the ascertainment requirement aids the fight against terrorism.</w:t>
      </w:r>
    </w:p>
    <w:p w14:paraId="04944926" w14:textId="77777777" w:rsidR="00DC1C78" w:rsidRDefault="00DC1C78" w:rsidP="00A371CF">
      <w:pPr>
        <w:pStyle w:val="Contention2"/>
      </w:pPr>
      <w:bookmarkStart w:id="38" w:name="_Toc266419042"/>
      <w:r>
        <w:t>Not a big burden to use safeguards on roving wiretap</w:t>
      </w:r>
      <w:bookmarkEnd w:id="38"/>
    </w:p>
    <w:p w14:paraId="47C6D6CD" w14:textId="77777777" w:rsidR="00DC1C78" w:rsidRPr="008869C6" w:rsidRDefault="00DC1C78" w:rsidP="00A371CF">
      <w:pPr>
        <w:pStyle w:val="Citation3"/>
      </w:pPr>
      <w:r w:rsidRPr="008869C6">
        <w:rPr>
          <w:rStyle w:val="Emphasis"/>
          <w:i/>
          <w:iCs w:val="0"/>
          <w:u w:val="single"/>
        </w:rPr>
        <w:t>James X. Dempsey</w:t>
      </w:r>
      <w:r w:rsidRPr="008869C6">
        <w:rPr>
          <w:u w:val="single"/>
        </w:rPr>
        <w:t> 2005</w:t>
      </w:r>
      <w:r w:rsidRPr="008869C6">
        <w:t xml:space="preserve">. (Executive Director of the Center for Democracy &amp; Technology. He works on privacy and electronic surveillance issues and heads CDT's international project, the Global Internet Policy Initiative. Prior to joining CDT, Mr. Dempsey was Deputy Director for the Center for National Security Studies. Mr. Dempsey previously worked on Capitol Hill as assistant counsel to the House Judiciary Subcommittee on Civil and Constitutional </w:t>
      </w:r>
      <w:r w:rsidR="00A855E2" w:rsidRPr="008869C6">
        <w:t>Right)</w:t>
      </w:r>
      <w:r w:rsidR="00A371CF">
        <w:t>“</w:t>
      </w:r>
      <w:r w:rsidRPr="00A371CF">
        <w:rPr>
          <w:rStyle w:val="Strong"/>
          <w:b w:val="0"/>
        </w:rPr>
        <w:t>Why Section 206 Should be Modified</w:t>
      </w:r>
      <w:r w:rsidRPr="008869C6">
        <w:t xml:space="preserve">” </w:t>
      </w:r>
      <w:hyperlink r:id="rId37" w:history="1">
        <w:r w:rsidR="00A371CF" w:rsidRPr="00A066F3">
          <w:rPr>
            <w:rStyle w:val="Hyperlink"/>
          </w:rPr>
          <w:t>http://apps.americanbar.org/natsecurity/patriotdebates/section-206</w:t>
        </w:r>
      </w:hyperlink>
    </w:p>
    <w:p w14:paraId="322B3F74" w14:textId="77777777" w:rsidR="00DC1C78" w:rsidRPr="008869C6" w:rsidRDefault="00DC1C78" w:rsidP="00DC1C78">
      <w:pPr>
        <w:pStyle w:val="Evidence"/>
      </w:pPr>
      <w:r w:rsidRPr="008869C6">
        <w:t>The prior essay does not really explain why ascertainment would be burdensome. If an officer is required to end surveillance after determining that the wiretap is intercepting the communication of innocent persons, it hardly seems onerous to require the officer to determine that the target is using the communication device before activating the wiretap in the first instance. Without additional safeguards, Section 206 roving tap orders are little different from the "general warrants' that the Fourth Amendment prohibits.</w:t>
      </w:r>
    </w:p>
    <w:sectPr w:rsidR="00DC1C78" w:rsidRPr="008869C6" w:rsidSect="00FA5EC0">
      <w:headerReference w:type="default" r:id="rId38"/>
      <w:headerReference w:type="first" r:id="rId3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EF411E" w14:textId="77777777" w:rsidR="009F21B1" w:rsidRDefault="009F21B1" w:rsidP="00A70001">
      <w:pPr>
        <w:spacing w:after="0" w:line="240" w:lineRule="auto"/>
      </w:pPr>
      <w:r>
        <w:separator/>
      </w:r>
    </w:p>
  </w:endnote>
  <w:endnote w:type="continuationSeparator" w:id="0">
    <w:p w14:paraId="547F7845" w14:textId="77777777" w:rsidR="009F21B1" w:rsidRDefault="009F21B1" w:rsidP="00A700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312A6F" w14:textId="0498486D" w:rsidR="001F5520" w:rsidRDefault="001F5520" w:rsidP="001F5520">
    <w:pPr>
      <w:pStyle w:val="Footer"/>
      <w:tabs>
        <w:tab w:val="clear" w:pos="4320"/>
        <w:tab w:val="clear" w:pos="8640"/>
        <w:tab w:val="center" w:pos="4680"/>
        <w:tab w:val="right" w:pos="9360"/>
      </w:tabs>
    </w:pPr>
    <w:r w:rsidRPr="0018486A">
      <w:rPr>
        <w:rFonts w:ascii="Times New Roman" w:hAnsi="Times New Roman"/>
        <w:sz w:val="18"/>
        <w:szCs w:val="18"/>
      </w:rPr>
      <w:t>2014 © Monument Publishing</w:t>
    </w:r>
    <w:r>
      <w:rPr>
        <w:rFonts w:ascii="Times New Roman" w:hAnsi="Times New Roman"/>
      </w:rPr>
      <w:tab/>
    </w:r>
    <w:r w:rsidRPr="0018486A">
      <w:rPr>
        <w:rFonts w:ascii="Times New Roman" w:hAnsi="Times New Roman"/>
        <w:b/>
        <w:sz w:val="24"/>
        <w:szCs w:val="24"/>
      </w:rPr>
      <w:t xml:space="preserve">Page </w:t>
    </w:r>
    <w:r w:rsidRPr="0018486A">
      <w:rPr>
        <w:rFonts w:ascii="Times New Roman" w:hAnsi="Times New Roman"/>
        <w:b/>
        <w:sz w:val="24"/>
        <w:szCs w:val="24"/>
      </w:rPr>
      <w:fldChar w:fldCharType="begin"/>
    </w:r>
    <w:r w:rsidRPr="0018486A">
      <w:rPr>
        <w:rFonts w:ascii="Times New Roman" w:hAnsi="Times New Roman"/>
        <w:b/>
        <w:sz w:val="24"/>
        <w:szCs w:val="24"/>
      </w:rPr>
      <w:instrText xml:space="preserve"> PAGE </w:instrText>
    </w:r>
    <w:r w:rsidRPr="0018486A">
      <w:rPr>
        <w:rFonts w:ascii="Times New Roman" w:hAnsi="Times New Roman"/>
        <w:b/>
        <w:sz w:val="24"/>
        <w:szCs w:val="24"/>
      </w:rPr>
      <w:fldChar w:fldCharType="separate"/>
    </w:r>
    <w:r w:rsidR="00CC1BF1">
      <w:rPr>
        <w:rFonts w:ascii="Times New Roman" w:hAnsi="Times New Roman"/>
        <w:b/>
        <w:noProof/>
        <w:sz w:val="24"/>
        <w:szCs w:val="24"/>
      </w:rPr>
      <w:t>1</w:t>
    </w:r>
    <w:r w:rsidRPr="0018486A">
      <w:rPr>
        <w:rFonts w:ascii="Times New Roman" w:hAnsi="Times New Roman"/>
        <w:b/>
        <w:sz w:val="24"/>
        <w:szCs w:val="24"/>
      </w:rPr>
      <w:fldChar w:fldCharType="end"/>
    </w:r>
    <w:r w:rsidRPr="0018486A">
      <w:rPr>
        <w:rFonts w:ascii="Times New Roman" w:hAnsi="Times New Roman"/>
        <w:b/>
        <w:sz w:val="24"/>
        <w:szCs w:val="24"/>
      </w:rPr>
      <w:t xml:space="preserve"> of </w:t>
    </w:r>
    <w:r w:rsidRPr="0018486A">
      <w:rPr>
        <w:rFonts w:ascii="Times New Roman" w:hAnsi="Times New Roman"/>
        <w:b/>
        <w:sz w:val="24"/>
        <w:szCs w:val="24"/>
      </w:rPr>
      <w:fldChar w:fldCharType="begin"/>
    </w:r>
    <w:r w:rsidRPr="0018486A">
      <w:rPr>
        <w:rFonts w:ascii="Times New Roman" w:hAnsi="Times New Roman"/>
        <w:b/>
        <w:sz w:val="24"/>
        <w:szCs w:val="24"/>
      </w:rPr>
      <w:instrText xml:space="preserve"> NUMPAGES </w:instrText>
    </w:r>
    <w:r w:rsidRPr="0018486A">
      <w:rPr>
        <w:rFonts w:ascii="Times New Roman" w:hAnsi="Times New Roman"/>
        <w:b/>
        <w:sz w:val="24"/>
        <w:szCs w:val="24"/>
      </w:rPr>
      <w:fldChar w:fldCharType="separate"/>
    </w:r>
    <w:r w:rsidR="00CC1BF1">
      <w:rPr>
        <w:rFonts w:ascii="Times New Roman" w:hAnsi="Times New Roman"/>
        <w:b/>
        <w:noProof/>
        <w:sz w:val="24"/>
        <w:szCs w:val="24"/>
      </w:rPr>
      <w:t>11</w:t>
    </w:r>
    <w:r w:rsidRPr="0018486A">
      <w:rPr>
        <w:rFonts w:ascii="Times New Roman" w:hAnsi="Times New Roman"/>
        <w:b/>
        <w:sz w:val="24"/>
        <w:szCs w:val="24"/>
      </w:rPr>
      <w:fldChar w:fldCharType="end"/>
    </w:r>
    <w:r>
      <w:rPr>
        <w:rFonts w:ascii="Times New Roman" w:hAnsi="Times New Roman"/>
      </w:rPr>
      <w:tab/>
    </w:r>
    <w:r w:rsidRPr="0018486A">
      <w:rPr>
        <w:rFonts w:ascii="Times New Roman" w:hAnsi="Times New Roman"/>
        <w:sz w:val="18"/>
        <w:szCs w:val="18"/>
      </w:rPr>
      <w:t>Created 6/26/14</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2E1BD5" w14:textId="77777777" w:rsidR="009F21B1" w:rsidRDefault="009F21B1" w:rsidP="00A70001">
      <w:pPr>
        <w:spacing w:after="0" w:line="240" w:lineRule="auto"/>
      </w:pPr>
      <w:r>
        <w:separator/>
      </w:r>
    </w:p>
  </w:footnote>
  <w:footnote w:type="continuationSeparator" w:id="0">
    <w:p w14:paraId="33A1CF8B" w14:textId="77777777" w:rsidR="009F21B1" w:rsidRDefault="009F21B1" w:rsidP="00A70001">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F7B45F" w14:textId="238639F5" w:rsidR="001F5520" w:rsidRPr="00FA5EC0" w:rsidRDefault="00FA5EC0" w:rsidP="00FA5EC0">
    <w:pPr>
      <w:pStyle w:val="Footer"/>
      <w:tabs>
        <w:tab w:val="clear" w:pos="4320"/>
        <w:tab w:val="clear" w:pos="8640"/>
        <w:tab w:val="center" w:pos="4680"/>
        <w:tab w:val="right" w:pos="9360"/>
      </w:tabs>
      <w:jc w:val="center"/>
      <w:rPr>
        <w:rFonts w:ascii="Times New Roman" w:hAnsi="Times New Roman"/>
        <w:b/>
        <w:smallCaps/>
      </w:rPr>
    </w:pPr>
    <w:r>
      <w:rPr>
        <w:rFonts w:ascii="Times New Roman" w:hAnsi="Times New Roman"/>
        <w:b/>
        <w:smallCaps/>
      </w:rPr>
      <w:t>CASE: Roving Wiretap Reforms</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0699B3" w14:textId="7CA04D40" w:rsidR="002321A0" w:rsidRPr="002321A0" w:rsidRDefault="002321A0" w:rsidP="002321A0">
    <w:pPr>
      <w:pStyle w:val="Footer"/>
      <w:tabs>
        <w:tab w:val="clear" w:pos="4320"/>
        <w:tab w:val="clear" w:pos="8640"/>
        <w:tab w:val="center" w:pos="4680"/>
        <w:tab w:val="right" w:pos="9360"/>
      </w:tabs>
      <w:jc w:val="center"/>
      <w:rPr>
        <w:rFonts w:ascii="Times New Roman" w:hAnsi="Times New Roman"/>
        <w:b/>
        <w:smallCaps/>
      </w:rPr>
    </w:pPr>
    <w:r>
      <w:rPr>
        <w:rFonts w:ascii="Times New Roman" w:hAnsi="Times New Roman"/>
        <w:b/>
        <w:smallCaps/>
      </w:rPr>
      <w:t>2A EVIDENCE: Roving Wiretap Reforms</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C81C2A" w14:textId="77777777" w:rsidR="00FA5EC0" w:rsidRDefault="00FA5EC0">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3">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15">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17F743B"/>
    <w:multiLevelType w:val="hybridMultilevel"/>
    <w:tmpl w:val="51F22BE4"/>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3"/>
  </w:num>
  <w:num w:numId="2">
    <w:abstractNumId w:val="15"/>
  </w:num>
  <w:num w:numId="3">
    <w:abstractNumId w:val="10"/>
  </w:num>
  <w:num w:numId="4">
    <w:abstractNumId w:val="12"/>
  </w:num>
  <w:num w:numId="5">
    <w:abstractNumId w:val="18"/>
  </w:num>
  <w:num w:numId="6">
    <w:abstractNumId w:val="11"/>
  </w:num>
  <w:num w:numId="7">
    <w:abstractNumId w:val="19"/>
  </w:num>
  <w:num w:numId="8">
    <w:abstractNumId w:val="16"/>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7"/>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8674B"/>
    <w:rsid w:val="00033B6B"/>
    <w:rsid w:val="00046C4F"/>
    <w:rsid w:val="00077FDA"/>
    <w:rsid w:val="0008580D"/>
    <w:rsid w:val="00085C61"/>
    <w:rsid w:val="0008674B"/>
    <w:rsid w:val="00092968"/>
    <w:rsid w:val="0009716A"/>
    <w:rsid w:val="000A63DD"/>
    <w:rsid w:val="000B0848"/>
    <w:rsid w:val="000D22F1"/>
    <w:rsid w:val="000D3779"/>
    <w:rsid w:val="000F546C"/>
    <w:rsid w:val="00116B41"/>
    <w:rsid w:val="0014024E"/>
    <w:rsid w:val="00160EC9"/>
    <w:rsid w:val="001743C4"/>
    <w:rsid w:val="00184D39"/>
    <w:rsid w:val="00190F49"/>
    <w:rsid w:val="00195D6F"/>
    <w:rsid w:val="00196952"/>
    <w:rsid w:val="001A17AE"/>
    <w:rsid w:val="001A3E5C"/>
    <w:rsid w:val="001A7E41"/>
    <w:rsid w:val="001D4FDB"/>
    <w:rsid w:val="001D5136"/>
    <w:rsid w:val="001F0ADE"/>
    <w:rsid w:val="001F5520"/>
    <w:rsid w:val="001F6CC6"/>
    <w:rsid w:val="002058EC"/>
    <w:rsid w:val="002220A6"/>
    <w:rsid w:val="002321A0"/>
    <w:rsid w:val="00236F83"/>
    <w:rsid w:val="00285587"/>
    <w:rsid w:val="00287CDC"/>
    <w:rsid w:val="002B5B38"/>
    <w:rsid w:val="002C1829"/>
    <w:rsid w:val="002C1D57"/>
    <w:rsid w:val="002C31EF"/>
    <w:rsid w:val="002D6912"/>
    <w:rsid w:val="00301761"/>
    <w:rsid w:val="00313DAC"/>
    <w:rsid w:val="003252AF"/>
    <w:rsid w:val="003643CB"/>
    <w:rsid w:val="00380948"/>
    <w:rsid w:val="003901F0"/>
    <w:rsid w:val="00392903"/>
    <w:rsid w:val="00394FA5"/>
    <w:rsid w:val="003B4C65"/>
    <w:rsid w:val="003C117B"/>
    <w:rsid w:val="003C2B16"/>
    <w:rsid w:val="003C33C6"/>
    <w:rsid w:val="003F0C6A"/>
    <w:rsid w:val="004051DC"/>
    <w:rsid w:val="00407971"/>
    <w:rsid w:val="00436FF7"/>
    <w:rsid w:val="004401C0"/>
    <w:rsid w:val="00454B16"/>
    <w:rsid w:val="00457AFC"/>
    <w:rsid w:val="004639D6"/>
    <w:rsid w:val="004664E7"/>
    <w:rsid w:val="00495F5D"/>
    <w:rsid w:val="0049656E"/>
    <w:rsid w:val="004978E0"/>
    <w:rsid w:val="004A276D"/>
    <w:rsid w:val="004B46AC"/>
    <w:rsid w:val="004F2FA1"/>
    <w:rsid w:val="00506217"/>
    <w:rsid w:val="00516DDF"/>
    <w:rsid w:val="00526C4B"/>
    <w:rsid w:val="00543F50"/>
    <w:rsid w:val="00550330"/>
    <w:rsid w:val="005A01B9"/>
    <w:rsid w:val="005A1BDE"/>
    <w:rsid w:val="005A55EC"/>
    <w:rsid w:val="005D0120"/>
    <w:rsid w:val="005D71E0"/>
    <w:rsid w:val="00616E3B"/>
    <w:rsid w:val="006359AF"/>
    <w:rsid w:val="00635B3D"/>
    <w:rsid w:val="006454BC"/>
    <w:rsid w:val="006540DC"/>
    <w:rsid w:val="00654C31"/>
    <w:rsid w:val="00675D39"/>
    <w:rsid w:val="006A2CBF"/>
    <w:rsid w:val="006B2DA8"/>
    <w:rsid w:val="006C457B"/>
    <w:rsid w:val="006C50B2"/>
    <w:rsid w:val="006C6D55"/>
    <w:rsid w:val="006D3F93"/>
    <w:rsid w:val="006E03C9"/>
    <w:rsid w:val="006F3799"/>
    <w:rsid w:val="00707BC3"/>
    <w:rsid w:val="00720189"/>
    <w:rsid w:val="00720DC4"/>
    <w:rsid w:val="0072413B"/>
    <w:rsid w:val="0073488F"/>
    <w:rsid w:val="00744B8F"/>
    <w:rsid w:val="00746113"/>
    <w:rsid w:val="007561E5"/>
    <w:rsid w:val="00760B4E"/>
    <w:rsid w:val="007873DA"/>
    <w:rsid w:val="007918FF"/>
    <w:rsid w:val="007A5570"/>
    <w:rsid w:val="007B2127"/>
    <w:rsid w:val="007B39AF"/>
    <w:rsid w:val="007B4BA3"/>
    <w:rsid w:val="007D2883"/>
    <w:rsid w:val="007F5E24"/>
    <w:rsid w:val="008010EE"/>
    <w:rsid w:val="00801E3C"/>
    <w:rsid w:val="00861AAF"/>
    <w:rsid w:val="00862483"/>
    <w:rsid w:val="00874518"/>
    <w:rsid w:val="00876ECA"/>
    <w:rsid w:val="008B0EB0"/>
    <w:rsid w:val="008C0EAA"/>
    <w:rsid w:val="008D7B77"/>
    <w:rsid w:val="0092592E"/>
    <w:rsid w:val="00927414"/>
    <w:rsid w:val="00932C8D"/>
    <w:rsid w:val="00937336"/>
    <w:rsid w:val="00946BA9"/>
    <w:rsid w:val="009541D9"/>
    <w:rsid w:val="00963B0B"/>
    <w:rsid w:val="00976182"/>
    <w:rsid w:val="009919FC"/>
    <w:rsid w:val="009A2CF2"/>
    <w:rsid w:val="009E75C2"/>
    <w:rsid w:val="009F21B1"/>
    <w:rsid w:val="00A371CF"/>
    <w:rsid w:val="00A45E02"/>
    <w:rsid w:val="00A645F2"/>
    <w:rsid w:val="00A70001"/>
    <w:rsid w:val="00A70C05"/>
    <w:rsid w:val="00A712D1"/>
    <w:rsid w:val="00A754CF"/>
    <w:rsid w:val="00A75E4E"/>
    <w:rsid w:val="00A855E2"/>
    <w:rsid w:val="00A961A3"/>
    <w:rsid w:val="00AB1AD6"/>
    <w:rsid w:val="00AB3084"/>
    <w:rsid w:val="00AB3973"/>
    <w:rsid w:val="00AB778C"/>
    <w:rsid w:val="00AC1D4E"/>
    <w:rsid w:val="00AC7CDA"/>
    <w:rsid w:val="00AD2212"/>
    <w:rsid w:val="00AD3A26"/>
    <w:rsid w:val="00AD4C79"/>
    <w:rsid w:val="00AE1CE7"/>
    <w:rsid w:val="00B1271D"/>
    <w:rsid w:val="00B2043A"/>
    <w:rsid w:val="00B2592F"/>
    <w:rsid w:val="00B6434A"/>
    <w:rsid w:val="00B83537"/>
    <w:rsid w:val="00BB1D9E"/>
    <w:rsid w:val="00BB4EBE"/>
    <w:rsid w:val="00BC1FD0"/>
    <w:rsid w:val="00C044E2"/>
    <w:rsid w:val="00C0701D"/>
    <w:rsid w:val="00C63084"/>
    <w:rsid w:val="00CB206D"/>
    <w:rsid w:val="00CC1BF1"/>
    <w:rsid w:val="00CF5E42"/>
    <w:rsid w:val="00D63792"/>
    <w:rsid w:val="00D730AB"/>
    <w:rsid w:val="00D81ADA"/>
    <w:rsid w:val="00D94A21"/>
    <w:rsid w:val="00DB3DDA"/>
    <w:rsid w:val="00DB6570"/>
    <w:rsid w:val="00DB7B94"/>
    <w:rsid w:val="00DC0A0C"/>
    <w:rsid w:val="00DC0CC5"/>
    <w:rsid w:val="00DC1C78"/>
    <w:rsid w:val="00DC3094"/>
    <w:rsid w:val="00DE3E15"/>
    <w:rsid w:val="00DE4778"/>
    <w:rsid w:val="00DF5802"/>
    <w:rsid w:val="00E017EE"/>
    <w:rsid w:val="00E351BF"/>
    <w:rsid w:val="00E42C4F"/>
    <w:rsid w:val="00E4330C"/>
    <w:rsid w:val="00E450A6"/>
    <w:rsid w:val="00E6412D"/>
    <w:rsid w:val="00EB617A"/>
    <w:rsid w:val="00EC7ABE"/>
    <w:rsid w:val="00F00935"/>
    <w:rsid w:val="00F02239"/>
    <w:rsid w:val="00F32431"/>
    <w:rsid w:val="00F44E6A"/>
    <w:rsid w:val="00F55129"/>
    <w:rsid w:val="00F622BD"/>
    <w:rsid w:val="00F62473"/>
    <w:rsid w:val="00F627B6"/>
    <w:rsid w:val="00F8702D"/>
    <w:rsid w:val="00F933B8"/>
    <w:rsid w:val="00F933C4"/>
    <w:rsid w:val="00FA5EC0"/>
    <w:rsid w:val="00FB0D2B"/>
    <w:rsid w:val="00FD47AA"/>
    <w:rsid w:val="00FF4101"/>
    <w:rsid w:val="00FF4F38"/>
    <w:rsid w:val="00FF6E39"/>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4FE8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lsdException w:name="heading 3" w:semiHidden="0" w:uiPriority="9" w:unhideWhenUsed="0"/>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lang w:val="en-US" w:eastAsia="en-US"/>
    </w:rPr>
  </w:style>
  <w:style w:type="paragraph" w:styleId="Heading1">
    <w:name w:val="heading 1"/>
    <w:basedOn w:val="normal0"/>
    <w:next w:val="normal0"/>
    <w:link w:val="Heading1Char"/>
    <w:uiPriority w:val="9"/>
    <w:qFormat/>
    <w:rsid w:val="00862483"/>
    <w:pPr>
      <w:numPr>
        <w:numId w:val="7"/>
      </w:numPr>
      <w:spacing w:before="480" w:after="120"/>
      <w:outlineLvl w:val="0"/>
    </w:pPr>
    <w:rPr>
      <w:rFonts w:cs="Times New Roman"/>
      <w:b/>
      <w:sz w:val="36"/>
      <w:szCs w:val="20"/>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rsid w:val="00862483"/>
    <w:pPr>
      <w:numPr>
        <w:ilvl w:val="2"/>
        <w:numId w:val="7"/>
      </w:numPr>
      <w:spacing w:before="280" w:after="80"/>
      <w:outlineLvl w:val="2"/>
    </w:pPr>
    <w:rPr>
      <w:b/>
      <w:color w:val="666666"/>
      <w:sz w:val="24"/>
    </w:rPr>
  </w:style>
  <w:style w:type="paragraph" w:styleId="Heading4">
    <w:name w:val="heading 4"/>
    <w:basedOn w:val="normal0"/>
    <w:next w:val="normal0"/>
    <w:qFormat/>
    <w:rsid w:val="00862483"/>
    <w:pPr>
      <w:numPr>
        <w:ilvl w:val="3"/>
        <w:numId w:val="7"/>
      </w:numPr>
      <w:spacing w:before="240" w:after="40"/>
      <w:outlineLvl w:val="3"/>
    </w:pPr>
    <w:rPr>
      <w:i/>
      <w:color w:val="666666"/>
    </w:rPr>
  </w:style>
  <w:style w:type="paragraph" w:styleId="Heading5">
    <w:name w:val="heading 5"/>
    <w:basedOn w:val="normal0"/>
    <w:next w:val="normal0"/>
    <w:qFormat/>
    <w:rsid w:val="00862483"/>
    <w:pPr>
      <w:numPr>
        <w:ilvl w:val="4"/>
        <w:numId w:val="7"/>
      </w:numPr>
      <w:spacing w:before="220" w:after="40"/>
      <w:outlineLvl w:val="4"/>
    </w:pPr>
    <w:rPr>
      <w:b/>
      <w:color w:val="666666"/>
      <w:sz w:val="20"/>
    </w:rPr>
  </w:style>
  <w:style w:type="paragraph" w:styleId="Heading6">
    <w:name w:val="heading 6"/>
    <w:basedOn w:val="normal0"/>
    <w:next w:val="normal0"/>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lang w:val="en-US" w:eastAsia="en-US"/>
    </w:rPr>
  </w:style>
  <w:style w:type="paragraph" w:styleId="Title">
    <w:name w:val="Title"/>
    <w:aliases w:val="Title 1"/>
    <w:basedOn w:val="normal0"/>
    <w:next w:val="normal0"/>
    <w:qFormat/>
    <w:rsid w:val="001D4FDB"/>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0"/>
    <w:next w:val="normal0"/>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qFormat/>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746113"/>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val="en-US"/>
    </w:rPr>
  </w:style>
  <w:style w:type="paragraph" w:customStyle="1" w:styleId="Constructive">
    <w:name w:val="Constructive"/>
    <w:rsid w:val="004A276D"/>
    <w:pPr>
      <w:keepNext/>
      <w:spacing w:after="200" w:line="276" w:lineRule="auto"/>
    </w:pPr>
    <w:rPr>
      <w:rFonts w:ascii="Times New Roman" w:eastAsia="Times New Roman" w:hAnsi="Times New Roman"/>
      <w:bCs/>
      <w:color w:val="000000"/>
      <w:lang w:val="en-US"/>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46113"/>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customStyle="1" w:styleId="BBBodyText">
    <w:name w:val="BB Body Text"/>
    <w:rsid w:val="006C6D55"/>
    <w:pPr>
      <w:pBdr>
        <w:top w:val="nil"/>
        <w:left w:val="nil"/>
        <w:bottom w:val="nil"/>
        <w:right w:val="nil"/>
        <w:between w:val="nil"/>
        <w:bar w:val="nil"/>
      </w:pBdr>
    </w:pPr>
    <w:rPr>
      <w:rFonts w:ascii="Times New Roman" w:eastAsia="Times New Roman" w:hAnsi="Times New Roman"/>
      <w:color w:val="000000"/>
      <w:bdr w:val="nil"/>
      <w:lang w:val="en-US" w:eastAsia="en-US"/>
    </w:rPr>
  </w:style>
  <w:style w:type="character" w:customStyle="1" w:styleId="Hyperlink0">
    <w:name w:val="Hyperlink.0"/>
    <w:basedOn w:val="Hyperlink"/>
    <w:rsid w:val="006C6D55"/>
    <w:rPr>
      <w:color w:val="7F7F7F"/>
      <w:u w:val="single" w:color="7F7F7F"/>
    </w:rPr>
  </w:style>
  <w:style w:type="character" w:customStyle="1" w:styleId="Link0">
    <w:name w:val="Link"/>
    <w:rsid w:val="003C33C6"/>
    <w:rPr>
      <w:u w:val="single"/>
    </w:rPr>
  </w:style>
  <w:style w:type="paragraph" w:customStyle="1" w:styleId="Footnote">
    <w:name w:val="Footnote"/>
    <w:rsid w:val="00A70001"/>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character" w:customStyle="1" w:styleId="Hyperlink1">
    <w:name w:val="Hyperlink.1"/>
    <w:basedOn w:val="Link0"/>
    <w:rsid w:val="00A70001"/>
    <w:rPr>
      <w:sz w:val="20"/>
      <w:szCs w:val="20"/>
      <w:u w:val="single"/>
    </w:rPr>
  </w:style>
  <w:style w:type="paragraph" w:customStyle="1" w:styleId="legis-num">
    <w:name w:val="legis-num"/>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current-chamber">
    <w:name w:val="current-chamber"/>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action-date">
    <w:name w:val="action-dat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action-desc">
    <w:name w:val="action-desc"/>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sponsor">
    <w:name w:val="sponsor"/>
    <w:basedOn w:val="DefaultParagraphFont"/>
    <w:rsid w:val="004664E7"/>
  </w:style>
  <w:style w:type="character" w:customStyle="1" w:styleId="committee-name">
    <w:name w:val="committee-name"/>
    <w:basedOn w:val="DefaultParagraphFont"/>
    <w:rsid w:val="004664E7"/>
  </w:style>
  <w:style w:type="paragraph" w:customStyle="1" w:styleId="legis-type">
    <w:name w:val="legis-typ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official-title">
    <w:name w:val="official-titl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enum">
    <w:name w:val="enum"/>
    <w:basedOn w:val="DefaultParagraphFont"/>
    <w:rsid w:val="004664E7"/>
  </w:style>
  <w:style w:type="paragraph" w:customStyle="1" w:styleId="Header1">
    <w:name w:val="Header1"/>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text">
    <w:name w:val="text"/>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short-title">
    <w:name w:val="short-title"/>
    <w:basedOn w:val="DefaultParagraphFont"/>
    <w:rsid w:val="004664E7"/>
  </w:style>
  <w:style w:type="character" w:customStyle="1" w:styleId="entity-ref">
    <w:name w:val="entity-ref"/>
    <w:basedOn w:val="DefaultParagraphFont"/>
    <w:rsid w:val="004664E7"/>
  </w:style>
  <w:style w:type="character" w:styleId="HTMLDefinition">
    <w:name w:val="HTML Definition"/>
    <w:basedOn w:val="DefaultParagraphFont"/>
    <w:uiPriority w:val="99"/>
    <w:semiHidden/>
    <w:unhideWhenUsed/>
    <w:rsid w:val="004664E7"/>
    <w:rPr>
      <w:i/>
      <w:iCs/>
    </w:rPr>
  </w:style>
  <w:style w:type="paragraph" w:styleId="BodyText">
    <w:name w:val="Body Text"/>
    <w:basedOn w:val="Normal"/>
    <w:link w:val="BodyTextChar"/>
    <w:uiPriority w:val="99"/>
    <w:unhideWhenUsed/>
    <w:rsid w:val="0014024E"/>
    <w:pPr>
      <w:spacing w:after="120"/>
    </w:pPr>
  </w:style>
  <w:style w:type="character" w:customStyle="1" w:styleId="BodyTextChar">
    <w:name w:val="Body Text Char"/>
    <w:basedOn w:val="DefaultParagraphFont"/>
    <w:link w:val="BodyText"/>
    <w:uiPriority w:val="99"/>
    <w:rsid w:val="0014024E"/>
    <w:rPr>
      <w:sz w:val="22"/>
      <w:szCs w:val="22"/>
      <w:lang w:val="en-US" w:eastAsia="en-US"/>
    </w:rPr>
  </w:style>
  <w:style w:type="paragraph" w:styleId="Header">
    <w:name w:val="header"/>
    <w:basedOn w:val="Normal"/>
    <w:link w:val="HeaderChar"/>
    <w:uiPriority w:val="99"/>
    <w:unhideWhenUsed/>
    <w:rsid w:val="00B2592F"/>
    <w:pPr>
      <w:tabs>
        <w:tab w:val="center" w:pos="4320"/>
        <w:tab w:val="right" w:pos="8640"/>
      </w:tabs>
      <w:spacing w:after="0" w:line="240" w:lineRule="auto"/>
    </w:pPr>
  </w:style>
  <w:style w:type="character" w:customStyle="1" w:styleId="HeaderChar">
    <w:name w:val="Header Char"/>
    <w:basedOn w:val="DefaultParagraphFont"/>
    <w:link w:val="Header"/>
    <w:uiPriority w:val="99"/>
    <w:rsid w:val="00B2592F"/>
    <w:rPr>
      <w:sz w:val="22"/>
      <w:szCs w:val="22"/>
      <w:lang w:val="en-US" w:eastAsia="en-US"/>
    </w:rPr>
  </w:style>
  <w:style w:type="paragraph" w:styleId="Footer">
    <w:name w:val="footer"/>
    <w:basedOn w:val="Normal"/>
    <w:link w:val="FooterChar"/>
    <w:uiPriority w:val="99"/>
    <w:unhideWhenUsed/>
    <w:rsid w:val="00B2592F"/>
    <w:pPr>
      <w:tabs>
        <w:tab w:val="center" w:pos="4320"/>
        <w:tab w:val="right" w:pos="8640"/>
      </w:tabs>
      <w:spacing w:after="0" w:line="240" w:lineRule="auto"/>
    </w:pPr>
  </w:style>
  <w:style w:type="character" w:customStyle="1" w:styleId="FooterChar">
    <w:name w:val="Footer Char"/>
    <w:basedOn w:val="DefaultParagraphFont"/>
    <w:link w:val="Footer"/>
    <w:uiPriority w:val="99"/>
    <w:rsid w:val="00B2592F"/>
    <w:rPr>
      <w:sz w:val="22"/>
      <w:szCs w:val="22"/>
      <w:lang w:val="en-US" w:eastAsia="en-US"/>
    </w:rPr>
  </w:style>
  <w:style w:type="paragraph" w:customStyle="1" w:styleId="Contention">
    <w:name w:val="Contention"/>
    <w:basedOn w:val="Normal"/>
    <w:link w:val="ContentionChar"/>
    <w:qFormat/>
    <w:rsid w:val="00746113"/>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746113"/>
    <w:rPr>
      <w:b/>
      <w:bCs/>
    </w:rPr>
  </w:style>
  <w:style w:type="character" w:customStyle="1" w:styleId="EvidenceChar">
    <w:name w:val="Evidence Char"/>
    <w:basedOn w:val="DefaultParagraphFont"/>
    <w:link w:val="Evidence"/>
    <w:locked/>
    <w:rsid w:val="00746113"/>
    <w:rPr>
      <w:rFonts w:ascii="Times New Roman" w:eastAsia="Times New Roman" w:hAnsi="Times New Roman"/>
      <w:bCs/>
      <w:color w:val="000000"/>
      <w:lang w:val="en-US"/>
    </w:rPr>
  </w:style>
  <w:style w:type="character" w:customStyle="1" w:styleId="CitationChar">
    <w:name w:val="Citation Char"/>
    <w:basedOn w:val="DefaultParagraphFont"/>
    <w:locked/>
    <w:rsid w:val="00746113"/>
    <w:rPr>
      <w:i/>
      <w:iCs/>
      <w:color w:val="000000"/>
      <w:lang w:val="en-US"/>
    </w:rPr>
  </w:style>
  <w:style w:type="character" w:customStyle="1" w:styleId="ContentionChar">
    <w:name w:val="Contention Char"/>
    <w:basedOn w:val="CitationChar"/>
    <w:link w:val="Contention"/>
    <w:locked/>
    <w:rsid w:val="00746113"/>
    <w:rPr>
      <w:rFonts w:ascii="Times New Roman" w:eastAsia="Times New Roman" w:hAnsi="Times New Roman"/>
      <w:b/>
      <w:bCs/>
      <w:i w:val="0"/>
      <w:iCs w:val="0"/>
      <w:color w:val="000000"/>
      <w:lang w:val="en-US"/>
    </w:rPr>
  </w:style>
  <w:style w:type="character" w:customStyle="1" w:styleId="headertext">
    <w:name w:val="headertext"/>
    <w:basedOn w:val="DefaultParagraphFont"/>
    <w:rsid w:val="00746113"/>
  </w:style>
  <w:style w:type="paragraph" w:styleId="FootnoteText">
    <w:name w:val="footnote text"/>
    <w:basedOn w:val="Normal"/>
    <w:link w:val="FootnoteTextChar"/>
    <w:rsid w:val="00746113"/>
    <w:pPr>
      <w:spacing w:after="0" w:line="240" w:lineRule="auto"/>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746113"/>
    <w:rPr>
      <w:rFonts w:ascii="Arial" w:eastAsia="Arial" w:hAnsi="Arial" w:cs="Arial"/>
      <w:color w:val="000000"/>
    </w:rPr>
  </w:style>
  <w:style w:type="character" w:styleId="FootnoteReference">
    <w:name w:val="footnote reference"/>
    <w:basedOn w:val="DefaultParagraphFont"/>
    <w:rsid w:val="00746113"/>
    <w:rPr>
      <w:vertAlign w:val="superscript"/>
    </w:rPr>
  </w:style>
  <w:style w:type="character" w:customStyle="1" w:styleId="entity">
    <w:name w:val="entity"/>
    <w:basedOn w:val="DefaultParagraphFont"/>
    <w:rsid w:val="00746113"/>
  </w:style>
  <w:style w:type="character" w:customStyle="1" w:styleId="external-xref">
    <w:name w:val="external-xref"/>
    <w:basedOn w:val="DefaultParagraphFont"/>
    <w:rsid w:val="00746113"/>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lsdException w:name="heading 3" w:semiHidden="0" w:uiPriority="9" w:unhideWhenUsed="0"/>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lang w:val="en-US" w:eastAsia="en-US"/>
    </w:rPr>
  </w:style>
  <w:style w:type="paragraph" w:styleId="Heading1">
    <w:name w:val="heading 1"/>
    <w:basedOn w:val="normal0"/>
    <w:next w:val="normal0"/>
    <w:link w:val="Heading1Char"/>
    <w:uiPriority w:val="9"/>
    <w:qFormat/>
    <w:rsid w:val="00862483"/>
    <w:pPr>
      <w:numPr>
        <w:numId w:val="7"/>
      </w:numPr>
      <w:spacing w:before="480" w:after="120"/>
      <w:outlineLvl w:val="0"/>
    </w:pPr>
    <w:rPr>
      <w:rFonts w:cs="Times New Roman"/>
      <w:b/>
      <w:sz w:val="36"/>
      <w:szCs w:val="20"/>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rsid w:val="00862483"/>
    <w:pPr>
      <w:numPr>
        <w:ilvl w:val="2"/>
        <w:numId w:val="7"/>
      </w:numPr>
      <w:spacing w:before="280" w:after="80"/>
      <w:outlineLvl w:val="2"/>
    </w:pPr>
    <w:rPr>
      <w:b/>
      <w:color w:val="666666"/>
      <w:sz w:val="24"/>
    </w:rPr>
  </w:style>
  <w:style w:type="paragraph" w:styleId="Heading4">
    <w:name w:val="heading 4"/>
    <w:basedOn w:val="normal0"/>
    <w:next w:val="normal0"/>
    <w:qFormat/>
    <w:rsid w:val="00862483"/>
    <w:pPr>
      <w:numPr>
        <w:ilvl w:val="3"/>
        <w:numId w:val="7"/>
      </w:numPr>
      <w:spacing w:before="240" w:after="40"/>
      <w:outlineLvl w:val="3"/>
    </w:pPr>
    <w:rPr>
      <w:i/>
      <w:color w:val="666666"/>
    </w:rPr>
  </w:style>
  <w:style w:type="paragraph" w:styleId="Heading5">
    <w:name w:val="heading 5"/>
    <w:basedOn w:val="normal0"/>
    <w:next w:val="normal0"/>
    <w:qFormat/>
    <w:rsid w:val="00862483"/>
    <w:pPr>
      <w:numPr>
        <w:ilvl w:val="4"/>
        <w:numId w:val="7"/>
      </w:numPr>
      <w:spacing w:before="220" w:after="40"/>
      <w:outlineLvl w:val="4"/>
    </w:pPr>
    <w:rPr>
      <w:b/>
      <w:color w:val="666666"/>
      <w:sz w:val="20"/>
    </w:rPr>
  </w:style>
  <w:style w:type="paragraph" w:styleId="Heading6">
    <w:name w:val="heading 6"/>
    <w:basedOn w:val="normal0"/>
    <w:next w:val="normal0"/>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lang w:val="en-US" w:eastAsia="en-US"/>
    </w:rPr>
  </w:style>
  <w:style w:type="paragraph" w:styleId="Title">
    <w:name w:val="Title"/>
    <w:aliases w:val="Title 1"/>
    <w:basedOn w:val="normal0"/>
    <w:next w:val="normal0"/>
    <w:qFormat/>
    <w:rsid w:val="001D4FDB"/>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0"/>
    <w:next w:val="normal0"/>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qFormat/>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746113"/>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val="en-US"/>
    </w:rPr>
  </w:style>
  <w:style w:type="paragraph" w:customStyle="1" w:styleId="Constructive">
    <w:name w:val="Constructive"/>
    <w:rsid w:val="004A276D"/>
    <w:pPr>
      <w:keepNext/>
      <w:spacing w:after="200" w:line="276" w:lineRule="auto"/>
    </w:pPr>
    <w:rPr>
      <w:rFonts w:ascii="Times New Roman" w:eastAsia="Times New Roman" w:hAnsi="Times New Roman"/>
      <w:bCs/>
      <w:color w:val="000000"/>
      <w:lang w:val="en-US"/>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46113"/>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customStyle="1" w:styleId="BBBodyText">
    <w:name w:val="BB Body Text"/>
    <w:rsid w:val="006C6D55"/>
    <w:pPr>
      <w:pBdr>
        <w:top w:val="nil"/>
        <w:left w:val="nil"/>
        <w:bottom w:val="nil"/>
        <w:right w:val="nil"/>
        <w:between w:val="nil"/>
        <w:bar w:val="nil"/>
      </w:pBdr>
    </w:pPr>
    <w:rPr>
      <w:rFonts w:ascii="Times New Roman" w:eastAsia="Times New Roman" w:hAnsi="Times New Roman"/>
      <w:color w:val="000000"/>
      <w:bdr w:val="nil"/>
      <w:lang w:val="en-US" w:eastAsia="en-US"/>
    </w:rPr>
  </w:style>
  <w:style w:type="character" w:customStyle="1" w:styleId="Hyperlink0">
    <w:name w:val="Hyperlink.0"/>
    <w:basedOn w:val="Hyperlink"/>
    <w:rsid w:val="006C6D55"/>
    <w:rPr>
      <w:color w:val="7F7F7F"/>
      <w:u w:val="single" w:color="7F7F7F"/>
    </w:rPr>
  </w:style>
  <w:style w:type="character" w:customStyle="1" w:styleId="Link0">
    <w:name w:val="Link"/>
    <w:rsid w:val="003C33C6"/>
    <w:rPr>
      <w:u w:val="single"/>
    </w:rPr>
  </w:style>
  <w:style w:type="paragraph" w:customStyle="1" w:styleId="Footnote">
    <w:name w:val="Footnote"/>
    <w:rsid w:val="00A70001"/>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character" w:customStyle="1" w:styleId="Hyperlink1">
    <w:name w:val="Hyperlink.1"/>
    <w:basedOn w:val="Link0"/>
    <w:rsid w:val="00A70001"/>
    <w:rPr>
      <w:sz w:val="20"/>
      <w:szCs w:val="20"/>
      <w:u w:val="single"/>
    </w:rPr>
  </w:style>
  <w:style w:type="paragraph" w:customStyle="1" w:styleId="legis-num">
    <w:name w:val="legis-num"/>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current-chamber">
    <w:name w:val="current-chamber"/>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action-date">
    <w:name w:val="action-dat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action-desc">
    <w:name w:val="action-desc"/>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sponsor">
    <w:name w:val="sponsor"/>
    <w:basedOn w:val="DefaultParagraphFont"/>
    <w:rsid w:val="004664E7"/>
  </w:style>
  <w:style w:type="character" w:customStyle="1" w:styleId="committee-name">
    <w:name w:val="committee-name"/>
    <w:basedOn w:val="DefaultParagraphFont"/>
    <w:rsid w:val="004664E7"/>
  </w:style>
  <w:style w:type="paragraph" w:customStyle="1" w:styleId="legis-type">
    <w:name w:val="legis-typ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official-title">
    <w:name w:val="official-titl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enum">
    <w:name w:val="enum"/>
    <w:basedOn w:val="DefaultParagraphFont"/>
    <w:rsid w:val="004664E7"/>
  </w:style>
  <w:style w:type="paragraph" w:customStyle="1" w:styleId="Header1">
    <w:name w:val="Header1"/>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text">
    <w:name w:val="text"/>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short-title">
    <w:name w:val="short-title"/>
    <w:basedOn w:val="DefaultParagraphFont"/>
    <w:rsid w:val="004664E7"/>
  </w:style>
  <w:style w:type="character" w:customStyle="1" w:styleId="entity-ref">
    <w:name w:val="entity-ref"/>
    <w:basedOn w:val="DefaultParagraphFont"/>
    <w:rsid w:val="004664E7"/>
  </w:style>
  <w:style w:type="character" w:styleId="HTMLDefinition">
    <w:name w:val="HTML Definition"/>
    <w:basedOn w:val="DefaultParagraphFont"/>
    <w:uiPriority w:val="99"/>
    <w:semiHidden/>
    <w:unhideWhenUsed/>
    <w:rsid w:val="004664E7"/>
    <w:rPr>
      <w:i/>
      <w:iCs/>
    </w:rPr>
  </w:style>
  <w:style w:type="paragraph" w:styleId="BodyText">
    <w:name w:val="Body Text"/>
    <w:basedOn w:val="Normal"/>
    <w:link w:val="BodyTextChar"/>
    <w:uiPriority w:val="99"/>
    <w:unhideWhenUsed/>
    <w:rsid w:val="0014024E"/>
    <w:pPr>
      <w:spacing w:after="120"/>
    </w:pPr>
  </w:style>
  <w:style w:type="character" w:customStyle="1" w:styleId="BodyTextChar">
    <w:name w:val="Body Text Char"/>
    <w:basedOn w:val="DefaultParagraphFont"/>
    <w:link w:val="BodyText"/>
    <w:uiPriority w:val="99"/>
    <w:rsid w:val="0014024E"/>
    <w:rPr>
      <w:sz w:val="22"/>
      <w:szCs w:val="22"/>
      <w:lang w:val="en-US" w:eastAsia="en-US"/>
    </w:rPr>
  </w:style>
  <w:style w:type="paragraph" w:styleId="Header">
    <w:name w:val="header"/>
    <w:basedOn w:val="Normal"/>
    <w:link w:val="HeaderChar"/>
    <w:uiPriority w:val="99"/>
    <w:unhideWhenUsed/>
    <w:rsid w:val="00B2592F"/>
    <w:pPr>
      <w:tabs>
        <w:tab w:val="center" w:pos="4320"/>
        <w:tab w:val="right" w:pos="8640"/>
      </w:tabs>
      <w:spacing w:after="0" w:line="240" w:lineRule="auto"/>
    </w:pPr>
  </w:style>
  <w:style w:type="character" w:customStyle="1" w:styleId="HeaderChar">
    <w:name w:val="Header Char"/>
    <w:basedOn w:val="DefaultParagraphFont"/>
    <w:link w:val="Header"/>
    <w:uiPriority w:val="99"/>
    <w:rsid w:val="00B2592F"/>
    <w:rPr>
      <w:sz w:val="22"/>
      <w:szCs w:val="22"/>
      <w:lang w:val="en-US" w:eastAsia="en-US"/>
    </w:rPr>
  </w:style>
  <w:style w:type="paragraph" w:styleId="Footer">
    <w:name w:val="footer"/>
    <w:basedOn w:val="Normal"/>
    <w:link w:val="FooterChar"/>
    <w:uiPriority w:val="99"/>
    <w:unhideWhenUsed/>
    <w:rsid w:val="00B2592F"/>
    <w:pPr>
      <w:tabs>
        <w:tab w:val="center" w:pos="4320"/>
        <w:tab w:val="right" w:pos="8640"/>
      </w:tabs>
      <w:spacing w:after="0" w:line="240" w:lineRule="auto"/>
    </w:pPr>
  </w:style>
  <w:style w:type="character" w:customStyle="1" w:styleId="FooterChar">
    <w:name w:val="Footer Char"/>
    <w:basedOn w:val="DefaultParagraphFont"/>
    <w:link w:val="Footer"/>
    <w:uiPriority w:val="99"/>
    <w:rsid w:val="00B2592F"/>
    <w:rPr>
      <w:sz w:val="22"/>
      <w:szCs w:val="22"/>
      <w:lang w:val="en-US" w:eastAsia="en-US"/>
    </w:rPr>
  </w:style>
  <w:style w:type="paragraph" w:customStyle="1" w:styleId="Contention">
    <w:name w:val="Contention"/>
    <w:basedOn w:val="Normal"/>
    <w:link w:val="ContentionChar"/>
    <w:qFormat/>
    <w:rsid w:val="00746113"/>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746113"/>
    <w:rPr>
      <w:b/>
      <w:bCs/>
    </w:rPr>
  </w:style>
  <w:style w:type="character" w:customStyle="1" w:styleId="EvidenceChar">
    <w:name w:val="Evidence Char"/>
    <w:basedOn w:val="DefaultParagraphFont"/>
    <w:link w:val="Evidence"/>
    <w:locked/>
    <w:rsid w:val="00746113"/>
    <w:rPr>
      <w:rFonts w:ascii="Times New Roman" w:eastAsia="Times New Roman" w:hAnsi="Times New Roman"/>
      <w:bCs/>
      <w:color w:val="000000"/>
      <w:lang w:val="en-US"/>
    </w:rPr>
  </w:style>
  <w:style w:type="character" w:customStyle="1" w:styleId="CitationChar">
    <w:name w:val="Citation Char"/>
    <w:basedOn w:val="DefaultParagraphFont"/>
    <w:locked/>
    <w:rsid w:val="00746113"/>
    <w:rPr>
      <w:i/>
      <w:iCs/>
      <w:color w:val="000000"/>
      <w:lang w:val="en-US"/>
    </w:rPr>
  </w:style>
  <w:style w:type="character" w:customStyle="1" w:styleId="ContentionChar">
    <w:name w:val="Contention Char"/>
    <w:basedOn w:val="CitationChar"/>
    <w:link w:val="Contention"/>
    <w:locked/>
    <w:rsid w:val="00746113"/>
    <w:rPr>
      <w:rFonts w:ascii="Times New Roman" w:eastAsia="Times New Roman" w:hAnsi="Times New Roman"/>
      <w:b/>
      <w:bCs/>
      <w:i w:val="0"/>
      <w:iCs w:val="0"/>
      <w:color w:val="000000"/>
      <w:lang w:val="en-US"/>
    </w:rPr>
  </w:style>
  <w:style w:type="character" w:customStyle="1" w:styleId="headertext">
    <w:name w:val="headertext"/>
    <w:basedOn w:val="DefaultParagraphFont"/>
    <w:rsid w:val="00746113"/>
  </w:style>
  <w:style w:type="paragraph" w:styleId="FootnoteText">
    <w:name w:val="footnote text"/>
    <w:basedOn w:val="Normal"/>
    <w:link w:val="FootnoteTextChar"/>
    <w:rsid w:val="00746113"/>
    <w:pPr>
      <w:spacing w:after="0" w:line="240" w:lineRule="auto"/>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746113"/>
    <w:rPr>
      <w:rFonts w:ascii="Arial" w:eastAsia="Arial" w:hAnsi="Arial" w:cs="Arial"/>
      <w:color w:val="000000"/>
    </w:rPr>
  </w:style>
  <w:style w:type="character" w:styleId="FootnoteReference">
    <w:name w:val="footnote reference"/>
    <w:basedOn w:val="DefaultParagraphFont"/>
    <w:rsid w:val="00746113"/>
    <w:rPr>
      <w:vertAlign w:val="superscript"/>
    </w:rPr>
  </w:style>
  <w:style w:type="character" w:customStyle="1" w:styleId="entity">
    <w:name w:val="entity"/>
    <w:basedOn w:val="DefaultParagraphFont"/>
    <w:rsid w:val="00746113"/>
  </w:style>
  <w:style w:type="character" w:customStyle="1" w:styleId="external-xref">
    <w:name w:val="external-xref"/>
    <w:basedOn w:val="DefaultParagraphFont"/>
    <w:rsid w:val="007461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12556593">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479461508">
      <w:bodyDiv w:val="1"/>
      <w:marLeft w:val="0"/>
      <w:marRight w:val="0"/>
      <w:marTop w:val="0"/>
      <w:marBottom w:val="0"/>
      <w:divBdr>
        <w:top w:val="none" w:sz="0" w:space="0" w:color="auto"/>
        <w:left w:val="none" w:sz="0" w:space="0" w:color="auto"/>
        <w:bottom w:val="none" w:sz="0" w:space="0" w:color="auto"/>
        <w:right w:val="none" w:sz="0" w:space="0" w:color="auto"/>
      </w:divBdr>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scholarship.law.upenn.edu/cgi/viewcontent.cgi?article=3279&amp;context=penn_law_review" TargetMode="External"/><Relationship Id="rId21" Type="http://schemas.openxmlformats.org/officeDocument/2006/relationships/hyperlink" Target="http://www.cato.org/sites/cato.org/files/pubs/pdf/PA675.pdf" TargetMode="External"/><Relationship Id="rId22" Type="http://schemas.openxmlformats.org/officeDocument/2006/relationships/hyperlink" Target="https://www.fas.org/sgp/crs/misc/R41733.pdf" TargetMode="External"/><Relationship Id="rId23" Type="http://schemas.openxmlformats.org/officeDocument/2006/relationships/hyperlink" Target="http://www.cato.org/sites/cato.org/files/pubs/pdf/PA675.pdf" TargetMode="External"/><Relationship Id="rId24" Type="http://schemas.openxmlformats.org/officeDocument/2006/relationships/hyperlink" Target="http://www.cato.org/sites/cato.org/files/pubs/pdf/PA675.pdf" TargetMode="External"/><Relationship Id="rId25" Type="http://schemas.openxmlformats.org/officeDocument/2006/relationships/hyperlink" Target="http://scholarship.law.upenn.edu/cgi/viewcontent.cgi?article=3279&amp;context=penn_law_review" TargetMode="External"/><Relationship Id="rId26" Type="http://schemas.openxmlformats.org/officeDocument/2006/relationships/hyperlink" Target="http://papers.ssrn.com/sol3/papers.cfm?abstract_id=1845644" TargetMode="External"/><Relationship Id="rId27" Type="http://schemas.openxmlformats.org/officeDocument/2006/relationships/hyperlink" Target="http://www.cato.org/sites/cato.org/files/pubs/pdf/PA675.pdf" TargetMode="External"/><Relationship Id="rId28" Type="http://schemas.openxmlformats.org/officeDocument/2006/relationships/hyperlink" Target="http://scholarship.law.upenn.edu/cgi/viewcontent.cgi?article=3279&amp;context=penn_law_review" TargetMode="External"/><Relationship Id="rId29" Type="http://schemas.openxmlformats.org/officeDocument/2006/relationships/hyperlink" Target="http://www.cato.org/sites/cato.org/files/pubs/pdf/PA675.pdf"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hyperlink" Target="https://supreme.justia.com/cases/federal/us/277/438/case.html" TargetMode="External"/><Relationship Id="rId31" Type="http://schemas.openxmlformats.org/officeDocument/2006/relationships/hyperlink" Target="http://www.cato.org/blog/risks-john-doe-wiretaps" TargetMode="External"/><Relationship Id="rId32" Type="http://schemas.openxmlformats.org/officeDocument/2006/relationships/hyperlink" Target="http://www.cato.org/sites/cato.org/files/pubs/pdf/PA675.pdf" TargetMode="External"/><Relationship Id="rId9" Type="http://schemas.openxmlformats.org/officeDocument/2006/relationships/footer" Target="footer1.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33" Type="http://schemas.openxmlformats.org/officeDocument/2006/relationships/hyperlink" Target="http://apps.americanbar.org/natsecurity/patriotdebates/section-206" TargetMode="External"/><Relationship Id="rId34" Type="http://schemas.openxmlformats.org/officeDocument/2006/relationships/hyperlink" Target="http://apps.americanbar.org/natsecurity/patriotdebates/section-206" TargetMode="External"/><Relationship Id="rId35" Type="http://schemas.openxmlformats.org/officeDocument/2006/relationships/hyperlink" Target="http://scholarship.law.upenn.edu/cgi/viewcontent.cgi?article=3279&amp;context=penn_law_review" TargetMode="External"/><Relationship Id="rId36" Type="http://schemas.openxmlformats.org/officeDocument/2006/relationships/hyperlink" Target="http://apps.americanbar.org/natsecurity/patriotdebates/section-206" TargetMode="External"/><Relationship Id="rId10" Type="http://schemas.openxmlformats.org/officeDocument/2006/relationships/hyperlink" Target="http://legal-dictionary.thefreedictionary.com/Electronic+Surveillance" TargetMode="External"/><Relationship Id="rId11" Type="http://schemas.openxmlformats.org/officeDocument/2006/relationships/hyperlink" Target="http://www.merriam-webster.com/dictionary/law" TargetMode="External"/><Relationship Id="rId12" Type="http://schemas.openxmlformats.org/officeDocument/2006/relationships/hyperlink" Target="http://www.fas.org/sgp/crs/terror/R41780.pdf" TargetMode="External"/><Relationship Id="rId13" Type="http://schemas.openxmlformats.org/officeDocument/2006/relationships/hyperlink" Target="http://www.cato.org/sites/cato.org/files/pubs/pdf/PA675.pdf" TargetMode="External"/><Relationship Id="rId14" Type="http://schemas.openxmlformats.org/officeDocument/2006/relationships/hyperlink" Target="http://www.fas.org/sgp/crs/terror/R41780.pdf" TargetMode="External"/><Relationship Id="rId15" Type="http://schemas.openxmlformats.org/officeDocument/2006/relationships/hyperlink" Target="http://www.durbin.senate.gov/public/index.cfm/statementscommentary?ID=e1c5e6b8-0b6f-4705-a2e2-679eb502eb0d" TargetMode="External"/><Relationship Id="rId16" Type="http://schemas.openxmlformats.org/officeDocument/2006/relationships/hyperlink" Target="http://www.cato.org/sites/cato.org/files/pubs/pdf/PA675.pdf" TargetMode="External"/><Relationship Id="rId17" Type="http://schemas.openxmlformats.org/officeDocument/2006/relationships/hyperlink" Target="http://www.cato.org/sites/cato.org/files/pubs/pdf/PA675.pdf" TargetMode="External"/><Relationship Id="rId18" Type="http://schemas.openxmlformats.org/officeDocument/2006/relationships/hyperlink" Target="http://www.wcl.american.edu/journal/lawrev/51/correctedaden.pdf" TargetMode="External"/><Relationship Id="rId19" Type="http://schemas.openxmlformats.org/officeDocument/2006/relationships/hyperlink" Target="https://supreme.justia.com/cases/federal/us/277/438/case.html" TargetMode="External"/><Relationship Id="rId37" Type="http://schemas.openxmlformats.org/officeDocument/2006/relationships/hyperlink" Target="http://apps.americanbar.org/natsecurity/patriotdebates/section-206" TargetMode="External"/><Relationship Id="rId38" Type="http://schemas.openxmlformats.org/officeDocument/2006/relationships/header" Target="header2.xml"/><Relationship Id="rId39" Type="http://schemas.openxmlformats.org/officeDocument/2006/relationships/header" Target="header3.xml"/><Relationship Id="rId40" Type="http://schemas.openxmlformats.org/officeDocument/2006/relationships/fontTable" Target="fontTable.xml"/><Relationship Id="rId4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6492</Words>
  <Characters>37006</Characters>
  <Application>Microsoft Macintosh Word</Application>
  <DocSecurity>0</DocSecurity>
  <Lines>308</Lines>
  <Paragraphs>86</Paragraphs>
  <ScaleCrop>false</ScaleCrop>
  <Company>Hewlett-Packard</Company>
  <LinksUpToDate>false</LinksUpToDate>
  <CharactersWithSpaces>43412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3</cp:revision>
  <cp:lastPrinted>2014-07-08T12:08:00Z</cp:lastPrinted>
  <dcterms:created xsi:type="dcterms:W3CDTF">2014-07-08T12:08:00Z</dcterms:created>
  <dcterms:modified xsi:type="dcterms:W3CDTF">2014-07-08T12:08:00Z</dcterms:modified>
</cp:coreProperties>
</file>